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D42C9" w:rsidRDefault="000D42C9">
      <w:pPr>
        <w:spacing w:before="60"/>
        <w:ind w:left="1170"/>
        <w:rPr>
          <w:highlight w:val="green"/>
        </w:rPr>
      </w:pPr>
      <w:bookmarkStart w:id="0" w:name="_GoBack"/>
      <w:bookmarkEnd w:id="0"/>
    </w:p>
    <w:p w:rsidR="000D42C9" w:rsidRDefault="000D42C9">
      <w:pPr>
        <w:spacing w:before="60"/>
        <w:ind w:left="1170"/>
        <w:rPr>
          <w:highlight w:val="green"/>
        </w:rPr>
      </w:pPr>
    </w:p>
    <w:p w:rsidR="000D42C9" w:rsidRDefault="000D42C9">
      <w:pPr>
        <w:spacing w:before="60"/>
        <w:ind w:left="1170"/>
        <w:rPr>
          <w:highlight w:val="green"/>
        </w:rPr>
      </w:pPr>
    </w:p>
    <w:p w:rsidR="000D42C9" w:rsidRDefault="000D42C9">
      <w:pPr>
        <w:spacing w:before="60"/>
        <w:ind w:left="1170"/>
        <w:rPr>
          <w:highlight w:val="green"/>
        </w:rPr>
      </w:pPr>
    </w:p>
    <w:p w:rsidR="00F32CB7" w:rsidRDefault="00F32CB7">
      <w:pPr>
        <w:spacing w:before="60"/>
        <w:ind w:left="1170"/>
        <w:rPr>
          <w:highlight w:val="green"/>
        </w:rPr>
      </w:pPr>
    </w:p>
    <w:p w:rsidR="00255F73" w:rsidRDefault="00255F73">
      <w:pPr>
        <w:spacing w:before="60"/>
        <w:ind w:left="1170"/>
        <w:rPr>
          <w:highlight w:val="green"/>
        </w:rPr>
      </w:pPr>
    </w:p>
    <w:p w:rsidR="00255F73" w:rsidRDefault="00255F73">
      <w:pPr>
        <w:spacing w:before="60"/>
        <w:ind w:left="1170"/>
        <w:rPr>
          <w:highlight w:val="green"/>
        </w:rPr>
      </w:pPr>
    </w:p>
    <w:p w:rsidR="00255F73" w:rsidRDefault="00255F73">
      <w:pPr>
        <w:spacing w:before="60"/>
        <w:ind w:left="1170"/>
        <w:rPr>
          <w:highlight w:val="green"/>
        </w:rPr>
      </w:pPr>
    </w:p>
    <w:p w:rsidR="00255F73" w:rsidRPr="007225C1" w:rsidRDefault="00255F73">
      <w:pPr>
        <w:spacing w:before="60"/>
        <w:ind w:left="1170"/>
        <w:rPr>
          <w:highlight w:val="yellow"/>
        </w:rPr>
      </w:pPr>
    </w:p>
    <w:p w:rsidR="00DA0B93" w:rsidRPr="007225C1" w:rsidRDefault="00DA0B93">
      <w:pPr>
        <w:rPr>
          <w:highlight w:val="yellow"/>
        </w:rPr>
      </w:pPr>
    </w:p>
    <w:p w:rsidR="00B270B0" w:rsidRPr="00F61451" w:rsidRDefault="00DA0B93" w:rsidP="00B270B0">
      <w:pPr>
        <w:pStyle w:val="Heading9"/>
        <w:tabs>
          <w:tab w:val="left" w:pos="3240"/>
        </w:tabs>
        <w:ind w:left="1170"/>
        <w:rPr>
          <w:b/>
          <w:sz w:val="32"/>
        </w:rPr>
      </w:pPr>
      <w:r w:rsidRPr="00F61451">
        <w:rPr>
          <w:b/>
          <w:sz w:val="32"/>
        </w:rPr>
        <w:t xml:space="preserve">Attachment </w:t>
      </w:r>
      <w:r w:rsidR="00DD26C2" w:rsidRPr="00F61451">
        <w:rPr>
          <w:b/>
          <w:sz w:val="32"/>
        </w:rPr>
        <w:t>D</w:t>
      </w:r>
      <w:r w:rsidRPr="00F61451">
        <w:rPr>
          <w:b/>
          <w:sz w:val="32"/>
        </w:rPr>
        <w:t>:</w:t>
      </w:r>
      <w:r w:rsidR="00B270B0" w:rsidRPr="00F61451">
        <w:rPr>
          <w:b/>
          <w:sz w:val="32"/>
        </w:rPr>
        <w:tab/>
      </w:r>
      <w:r w:rsidR="00031D75" w:rsidRPr="00F61451">
        <w:rPr>
          <w:b/>
          <w:sz w:val="32"/>
        </w:rPr>
        <w:t>201</w:t>
      </w:r>
      <w:r w:rsidR="00031D75">
        <w:rPr>
          <w:b/>
          <w:sz w:val="32"/>
        </w:rPr>
        <w:t>6</w:t>
      </w:r>
      <w:r w:rsidR="00031D75" w:rsidRPr="00F61451">
        <w:rPr>
          <w:b/>
          <w:sz w:val="32"/>
        </w:rPr>
        <w:t xml:space="preserve"> </w:t>
      </w:r>
      <w:r w:rsidRPr="00F61451">
        <w:rPr>
          <w:b/>
          <w:sz w:val="32"/>
        </w:rPr>
        <w:t>Quality Control Report</w:t>
      </w:r>
    </w:p>
    <w:p w:rsidR="00DA0B93" w:rsidRPr="00F61451" w:rsidRDefault="00EC3726" w:rsidP="00B270B0">
      <w:pPr>
        <w:pStyle w:val="Heading9"/>
        <w:ind w:left="3240"/>
        <w:rPr>
          <w:b/>
          <w:sz w:val="32"/>
        </w:rPr>
      </w:pPr>
      <w:r>
        <w:rPr>
          <w:bCs/>
          <w:noProof/>
          <w:sz w:val="32"/>
        </w:rPr>
        <mc:AlternateContent>
          <mc:Choice Requires="wps">
            <w:drawing>
              <wp:anchor distT="0" distB="0" distL="114300" distR="114300" simplePos="0" relativeHeight="251657728" behindDoc="0" locked="0" layoutInCell="1" allowOverlap="1" wp14:anchorId="033CA76E" wp14:editId="48EFE35A">
                <wp:simplePos x="0" y="0"/>
                <wp:positionH relativeFrom="margin">
                  <wp:posOffset>704850</wp:posOffset>
                </wp:positionH>
                <wp:positionV relativeFrom="margin">
                  <wp:posOffset>2552700</wp:posOffset>
                </wp:positionV>
                <wp:extent cx="4648200" cy="1905"/>
                <wp:effectExtent l="9525" t="9525" r="9525" b="762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0" cy="1905"/>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09927"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5.5pt,201pt" to="421.5pt,2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9WMAIAAG8EAAAOAAAAZHJzL2Uyb0RvYy54bWysVMGO2jAQvVfqP1i+QxIaKESEVZVAL7RF&#10;2m3vxnYSq45t2YaAqv57x4ZlS3tZVc3BseM3zzNvnrN8OPUSHbl1QqsSZ+MUI66oZkK1Jf76tBnN&#10;MXKeKEakVrzEZ+7ww+rtm+VgCj7RnZaMWwQkyhWDKXHnvSmSxNGO98SNteEKNhtte+JhaduEWTIA&#10;ey+TSZrOkkFbZqym3Dn4Wl828SryNw2n/kvTOO6RLDHk5uNo47gPY7JakqK1xHSCXtMg/5BFT4SC&#10;Q29UNfEEHaz4i6oX1GqnGz+muk900wjKYw1QTZb+Uc1jRwyPtYA4ztxkcv+Pln4+7iwSDHqHkSI9&#10;tGgrFEeLoMxgXAGASu1sqI2e1KPZavrdIaWrjqiWxwyfzgbCshCR3IWEhTPAvx8+aQYYcvA6ynRq&#10;bI8aKcy3EBjIQQp0in053/rCTx5R+JjP8jk0GyMKe9kincajSBFYQqyxzn/kukdhUmIJBUROctw6&#10;H7J6gQS40hshZey8VGgo8WI6mcYAp6VgYTPAnG33lbToSIJ34nM99w5m9UGxSNZxwtaKIR/1UOB3&#10;HNh7zjCSHK6HbAMBKTwR8hVASFuqgAcdoJDr7GKrH4t0sZ6v5/kon8zWozyt69GHTZWPZpvs/bR+&#10;V1dVnf0MRWV50QnGuAp1PVs8y19noetlu5jzZvKbgMk9e1Qakn1+x6SjJYILLn7aa3be2dCU4A5w&#10;dQRfb2C4Nr+vI+rlP7H6BQAA//8DAFBLAwQUAAYACAAAACEA0NDgzt8AAAALAQAADwAAAGRycy9k&#10;b3ducmV2LnhtbExPQW7CMBC8V+IP1lbqrTghqKA0DkKVSqWqHIBeuJl4iSPidRobSH/fbS/0NrMz&#10;mp0pFoNrxQX70HhSkI4TEEiVNw3VCj53r49zECFqMrr1hAq+McCiHN0VOjf+Shu8bGMtOIRCrhXY&#10;GLtcylBZdDqMfYfE2tH3TkemfS1Nr68c7lo5SZIn6XRD/MHqDl8sVqft2Sk4zlYfb7P3lQ1f603M&#10;/G5/cuu9Ug/3w/IZRMQh3szwW5+rQ8mdDv5MJoiWeZrylqhgmkwYsGM+zRgc/i4ZyLKQ/zeUPwAA&#10;AP//AwBQSwECLQAUAAYACAAAACEAtoM4kv4AAADhAQAAEwAAAAAAAAAAAAAAAAAAAAAAW0NvbnRl&#10;bnRfVHlwZXNdLnhtbFBLAQItABQABgAIAAAAIQA4/SH/1gAAAJQBAAALAAAAAAAAAAAAAAAAAC8B&#10;AABfcmVscy8ucmVsc1BLAQItABQABgAIAAAAIQBvQ89WMAIAAG8EAAAOAAAAAAAAAAAAAAAAAC4C&#10;AABkcnMvZTJvRG9jLnhtbFBLAQItABQABgAIAAAAIQDQ0ODO3wAAAAsBAAAPAAAAAAAAAAAAAAAA&#10;AIoEAABkcnMvZG93bnJldi54bWxQSwUGAAAAAAQABADzAAAAlgUAAAAA&#10;">
                <v:stroke startarrowlength="long" endarrowlength="long"/>
                <w10:wrap anchorx="margin" anchory="margin"/>
              </v:line>
            </w:pict>
          </mc:Fallback>
        </mc:AlternateContent>
      </w:r>
      <w:r w:rsidR="00036AE9" w:rsidRPr="00F61451">
        <w:rPr>
          <w:b/>
          <w:sz w:val="32"/>
        </w:rPr>
        <w:t xml:space="preserve">Audits of </w:t>
      </w:r>
      <w:r w:rsidR="00B270B0" w:rsidRPr="00F61451">
        <w:rPr>
          <w:b/>
          <w:sz w:val="32"/>
        </w:rPr>
        <w:t>OBD</w:t>
      </w:r>
      <w:r w:rsidR="00D12AD3" w:rsidRPr="00F61451">
        <w:rPr>
          <w:b/>
          <w:sz w:val="32"/>
        </w:rPr>
        <w:t xml:space="preserve"> Test Equipment</w:t>
      </w:r>
    </w:p>
    <w:p w:rsidR="0087684C" w:rsidRPr="00F61451" w:rsidRDefault="0087684C" w:rsidP="0087684C">
      <w:pPr>
        <w:ind w:left="450" w:firstLine="720"/>
      </w:pPr>
    </w:p>
    <w:p w:rsidR="00DA0B93" w:rsidRPr="00F61451" w:rsidRDefault="00DA0B93" w:rsidP="0087684C">
      <w:pPr>
        <w:pStyle w:val="Heading9"/>
        <w:ind w:left="1170"/>
        <w:rPr>
          <w:bCs/>
          <w:sz w:val="24"/>
        </w:rPr>
      </w:pPr>
      <w:r w:rsidRPr="00F61451">
        <w:rPr>
          <w:bCs/>
          <w:sz w:val="24"/>
        </w:rPr>
        <w:t>40 CFR section 51.366(c)</w:t>
      </w:r>
    </w:p>
    <w:p w:rsidR="00DA0B93" w:rsidRPr="00F61451" w:rsidRDefault="00DA0B93">
      <w:pPr>
        <w:ind w:left="1440"/>
      </w:pPr>
    </w:p>
    <w:p w:rsidR="00DA0B93" w:rsidRPr="00F61451" w:rsidRDefault="00DA0B93">
      <w:pPr>
        <w:ind w:left="1170"/>
        <w:rPr>
          <w:b/>
        </w:rPr>
      </w:pPr>
      <w:r w:rsidRPr="00F61451">
        <w:rPr>
          <w:b/>
        </w:rPr>
        <w:t xml:space="preserve">Massachusetts </w:t>
      </w:r>
      <w:r w:rsidR="00EE6EED" w:rsidRPr="00F61451">
        <w:rPr>
          <w:b/>
        </w:rPr>
        <w:t>Vehicle Check</w:t>
      </w:r>
    </w:p>
    <w:p w:rsidR="00DA0B93" w:rsidRPr="00F61451" w:rsidRDefault="00DA0B93">
      <w:pPr>
        <w:ind w:left="1170"/>
        <w:rPr>
          <w:b/>
        </w:rPr>
      </w:pPr>
      <w:r w:rsidRPr="00F61451">
        <w:rPr>
          <w:b/>
        </w:rPr>
        <w:t>Inspection and Maintenance Program</w:t>
      </w:r>
    </w:p>
    <w:p w:rsidR="00AB635F" w:rsidRPr="00F61451" w:rsidRDefault="00AB635F">
      <w:pPr>
        <w:ind w:left="1170"/>
        <w:rPr>
          <w:b/>
        </w:rPr>
      </w:pPr>
    </w:p>
    <w:p w:rsidR="00AB635F" w:rsidRPr="007225C1" w:rsidRDefault="00AB635F">
      <w:pPr>
        <w:ind w:left="1170"/>
        <w:rPr>
          <w:b/>
          <w:highlight w:val="yellow"/>
        </w:rPr>
      </w:pPr>
    </w:p>
    <w:p w:rsidR="00AB635F" w:rsidRPr="007225C1" w:rsidRDefault="00AB635F">
      <w:pPr>
        <w:ind w:left="1170"/>
        <w:rPr>
          <w:b/>
          <w:highlight w:val="yellow"/>
        </w:rPr>
      </w:pPr>
    </w:p>
    <w:p w:rsidR="00AB635F" w:rsidRPr="007225C1" w:rsidRDefault="00AB635F">
      <w:pPr>
        <w:ind w:left="1170"/>
        <w:rPr>
          <w:b/>
          <w:highlight w:val="yellow"/>
        </w:rPr>
      </w:pPr>
    </w:p>
    <w:p w:rsidR="00AB635F" w:rsidRPr="007225C1" w:rsidRDefault="00AB635F">
      <w:pPr>
        <w:ind w:left="1170"/>
        <w:rPr>
          <w:b/>
          <w:highlight w:val="yellow"/>
        </w:rPr>
      </w:pPr>
    </w:p>
    <w:p w:rsidR="00AB635F" w:rsidRPr="007225C1" w:rsidRDefault="00AB635F">
      <w:pPr>
        <w:ind w:left="1170"/>
        <w:rPr>
          <w:highlight w:val="yellow"/>
        </w:rPr>
      </w:pPr>
    </w:p>
    <w:p w:rsidR="003E7304" w:rsidRPr="007225C1" w:rsidRDefault="003E7304" w:rsidP="003E7304">
      <w:pPr>
        <w:spacing w:before="60"/>
        <w:ind w:left="1170"/>
        <w:rPr>
          <w:highlight w:val="yellow"/>
        </w:rPr>
      </w:pPr>
    </w:p>
    <w:p w:rsidR="00DA0B93" w:rsidRPr="007225C1" w:rsidRDefault="00DA0B93">
      <w:pPr>
        <w:spacing w:before="60"/>
        <w:ind w:left="1170"/>
        <w:rPr>
          <w:highlight w:val="yellow"/>
        </w:rPr>
      </w:pPr>
    </w:p>
    <w:p w:rsidR="00DA0B93" w:rsidRPr="007225C1" w:rsidRDefault="00DA0B93">
      <w:pPr>
        <w:spacing w:before="60"/>
        <w:ind w:left="1170"/>
        <w:rPr>
          <w:highlight w:val="yellow"/>
        </w:rPr>
        <w:sectPr w:rsidR="00DA0B93" w:rsidRPr="007225C1">
          <w:footerReference w:type="even" r:id="rId8"/>
          <w:pgSz w:w="12240" w:h="15840"/>
          <w:pgMar w:top="1440" w:right="1800" w:bottom="1440" w:left="1800" w:header="720" w:footer="720" w:gutter="0"/>
          <w:cols w:space="720"/>
          <w:docGrid w:linePitch="360"/>
        </w:sectPr>
      </w:pPr>
    </w:p>
    <w:p w:rsidR="00DA0B93" w:rsidRPr="00F61451" w:rsidRDefault="00DA0B93">
      <w:pPr>
        <w:pStyle w:val="Heading7"/>
        <w:rPr>
          <w:rFonts w:ascii="Times New Roman" w:hAnsi="Times New Roman"/>
        </w:rPr>
      </w:pPr>
      <w:r w:rsidRPr="00F61451">
        <w:rPr>
          <w:rFonts w:ascii="Times New Roman" w:hAnsi="Times New Roman"/>
        </w:rPr>
        <w:lastRenderedPageBreak/>
        <w:t xml:space="preserve">Attachment </w:t>
      </w:r>
      <w:r w:rsidR="00B0263F" w:rsidRPr="00F61451">
        <w:rPr>
          <w:rFonts w:ascii="Times New Roman" w:hAnsi="Times New Roman"/>
        </w:rPr>
        <w:t>D</w:t>
      </w:r>
      <w:r w:rsidRPr="00F61451">
        <w:rPr>
          <w:rFonts w:ascii="Times New Roman" w:hAnsi="Times New Roman"/>
        </w:rPr>
        <w:t xml:space="preserve">: </w:t>
      </w:r>
      <w:r w:rsidR="003113F6" w:rsidRPr="00F61451">
        <w:rPr>
          <w:rFonts w:ascii="Times New Roman" w:hAnsi="Times New Roman"/>
        </w:rPr>
        <w:t>201</w:t>
      </w:r>
      <w:r w:rsidR="003113F6">
        <w:rPr>
          <w:rFonts w:ascii="Times New Roman" w:hAnsi="Times New Roman"/>
        </w:rPr>
        <w:t>6</w:t>
      </w:r>
      <w:r w:rsidR="003113F6" w:rsidRPr="00F61451">
        <w:rPr>
          <w:rFonts w:ascii="Times New Roman" w:hAnsi="Times New Roman"/>
        </w:rPr>
        <w:t xml:space="preserve"> </w:t>
      </w:r>
      <w:r w:rsidRPr="00F61451">
        <w:rPr>
          <w:rFonts w:ascii="Times New Roman" w:hAnsi="Times New Roman"/>
        </w:rPr>
        <w:t>Quality Control Report</w:t>
      </w:r>
    </w:p>
    <w:p w:rsidR="00DD26C2" w:rsidRPr="00F61451" w:rsidRDefault="00DD26C2" w:rsidP="00DD26C2"/>
    <w:p w:rsidR="00DA0B93" w:rsidRPr="00F61451" w:rsidRDefault="00DA0B93">
      <w:pPr>
        <w:pStyle w:val="Heading7"/>
        <w:rPr>
          <w:rFonts w:ascii="Times New Roman" w:hAnsi="Times New Roman"/>
        </w:rPr>
      </w:pPr>
      <w:r w:rsidRPr="00F61451">
        <w:rPr>
          <w:rFonts w:ascii="Times New Roman" w:hAnsi="Times New Roman"/>
        </w:rPr>
        <w:t>TABLE OF CONTENTS</w:t>
      </w:r>
    </w:p>
    <w:p w:rsidR="00DA0B93" w:rsidRPr="00F61451" w:rsidRDefault="00DA0B93" w:rsidP="00737302">
      <w:pPr>
        <w:pStyle w:val="TOC2"/>
        <w:rPr>
          <w:rFonts w:ascii="Times New Roman" w:hAnsi="Times New Roman"/>
        </w:rPr>
      </w:pPr>
    </w:p>
    <w:p w:rsidR="00D6044B" w:rsidRPr="00F61451" w:rsidRDefault="00057177" w:rsidP="00D6044B">
      <w:pPr>
        <w:pStyle w:val="TOC1"/>
        <w:spacing w:after="240"/>
        <w:outlineLvl w:val="0"/>
        <w:rPr>
          <w:rFonts w:ascii="Calibri" w:hAnsi="Calibri"/>
          <w:b w:val="0"/>
          <w:caps w:val="0"/>
          <w:noProof/>
          <w:sz w:val="22"/>
          <w:szCs w:val="22"/>
        </w:rPr>
      </w:pPr>
      <w:r w:rsidRPr="00F61451">
        <w:rPr>
          <w:rFonts w:ascii="Times New Roman" w:hAnsi="Times New Roman"/>
          <w:b w:val="0"/>
          <w:caps w:val="0"/>
          <w:szCs w:val="22"/>
        </w:rPr>
        <w:fldChar w:fldCharType="begin"/>
      </w:r>
      <w:r w:rsidR="0023486D" w:rsidRPr="00F61451">
        <w:rPr>
          <w:rFonts w:ascii="Times New Roman" w:hAnsi="Times New Roman"/>
          <w:b w:val="0"/>
          <w:caps w:val="0"/>
          <w:szCs w:val="22"/>
        </w:rPr>
        <w:instrText xml:space="preserve"> TOC \o "1-5" \h \z </w:instrText>
      </w:r>
      <w:r w:rsidRPr="00F61451">
        <w:rPr>
          <w:rFonts w:ascii="Times New Roman" w:hAnsi="Times New Roman"/>
          <w:b w:val="0"/>
          <w:caps w:val="0"/>
          <w:szCs w:val="22"/>
        </w:rPr>
        <w:fldChar w:fldCharType="separate"/>
      </w:r>
      <w:hyperlink w:anchor="_Toc329697885" w:history="1">
        <w:r w:rsidR="00D6044B" w:rsidRPr="00F61451">
          <w:rPr>
            <w:rStyle w:val="Hyperlink"/>
            <w:noProof/>
          </w:rPr>
          <w:t>1.0</w:t>
        </w:r>
        <w:r w:rsidR="00D6044B" w:rsidRPr="00F61451">
          <w:rPr>
            <w:rFonts w:ascii="Calibri" w:hAnsi="Calibri"/>
            <w:b w:val="0"/>
            <w:caps w:val="0"/>
            <w:noProof/>
            <w:sz w:val="22"/>
            <w:szCs w:val="22"/>
          </w:rPr>
          <w:tab/>
        </w:r>
        <w:r w:rsidR="00D6044B" w:rsidRPr="00F61451">
          <w:rPr>
            <w:rStyle w:val="Hyperlink"/>
            <w:noProof/>
          </w:rPr>
          <w:t>Background</w:t>
        </w:r>
        <w:r w:rsidR="00D6044B" w:rsidRPr="00F61451">
          <w:rPr>
            <w:noProof/>
            <w:webHidden/>
          </w:rPr>
          <w:tab/>
        </w:r>
        <w:r w:rsidRPr="00F61451">
          <w:rPr>
            <w:noProof/>
            <w:webHidden/>
          </w:rPr>
          <w:fldChar w:fldCharType="begin"/>
        </w:r>
        <w:r w:rsidR="00D6044B" w:rsidRPr="00F61451">
          <w:rPr>
            <w:noProof/>
            <w:webHidden/>
          </w:rPr>
          <w:instrText xml:space="preserve"> PAGEREF _Toc329697885 \h </w:instrText>
        </w:r>
        <w:r w:rsidRPr="00F61451">
          <w:rPr>
            <w:noProof/>
            <w:webHidden/>
          </w:rPr>
        </w:r>
        <w:r w:rsidRPr="00F61451">
          <w:rPr>
            <w:noProof/>
            <w:webHidden/>
          </w:rPr>
          <w:fldChar w:fldCharType="separate"/>
        </w:r>
        <w:r w:rsidR="00DC025F">
          <w:rPr>
            <w:noProof/>
            <w:webHidden/>
          </w:rPr>
          <w:t>1</w:t>
        </w:r>
        <w:r w:rsidRPr="00F61451">
          <w:rPr>
            <w:noProof/>
            <w:webHidden/>
          </w:rPr>
          <w:fldChar w:fldCharType="end"/>
        </w:r>
      </w:hyperlink>
    </w:p>
    <w:p w:rsidR="00D6044B" w:rsidRPr="00F61451" w:rsidRDefault="008A651E" w:rsidP="00D6044B">
      <w:pPr>
        <w:pStyle w:val="TOC2"/>
        <w:outlineLvl w:val="0"/>
        <w:rPr>
          <w:rFonts w:ascii="Calibri" w:hAnsi="Calibri"/>
          <w:smallCaps w:val="0"/>
          <w:sz w:val="22"/>
          <w:szCs w:val="22"/>
        </w:rPr>
      </w:pPr>
      <w:hyperlink w:anchor="_Toc329697886" w:history="1">
        <w:r w:rsidR="00D6044B" w:rsidRPr="00F61451">
          <w:rPr>
            <w:rStyle w:val="Hyperlink"/>
            <w:rFonts w:ascii="Times New Roman" w:hAnsi="Times New Roman"/>
          </w:rPr>
          <w:t>1.1</w:t>
        </w:r>
        <w:r w:rsidR="00D6044B" w:rsidRPr="00F61451">
          <w:rPr>
            <w:rFonts w:ascii="Calibri" w:hAnsi="Calibri"/>
            <w:smallCaps w:val="0"/>
            <w:sz w:val="22"/>
            <w:szCs w:val="22"/>
          </w:rPr>
          <w:tab/>
        </w:r>
        <w:r w:rsidR="00D6044B" w:rsidRPr="00F61451">
          <w:rPr>
            <w:rStyle w:val="Hyperlink"/>
            <w:rFonts w:ascii="Times New Roman" w:hAnsi="Times New Roman"/>
          </w:rPr>
          <w:t>Types of Emissions Tests in Massachusetts</w:t>
        </w:r>
        <w:r w:rsidR="00D6044B" w:rsidRPr="00F61451">
          <w:rPr>
            <w:webHidden/>
          </w:rPr>
          <w:tab/>
        </w:r>
        <w:r w:rsidR="00057177" w:rsidRPr="00F61451">
          <w:rPr>
            <w:webHidden/>
          </w:rPr>
          <w:fldChar w:fldCharType="begin"/>
        </w:r>
        <w:r w:rsidR="00D6044B" w:rsidRPr="00F61451">
          <w:rPr>
            <w:webHidden/>
          </w:rPr>
          <w:instrText xml:space="preserve"> PAGEREF _Toc329697886 \h </w:instrText>
        </w:r>
        <w:r w:rsidR="00057177" w:rsidRPr="00F61451">
          <w:rPr>
            <w:webHidden/>
          </w:rPr>
        </w:r>
        <w:r w:rsidR="00057177" w:rsidRPr="00F61451">
          <w:rPr>
            <w:webHidden/>
          </w:rPr>
          <w:fldChar w:fldCharType="separate"/>
        </w:r>
        <w:r w:rsidR="00DC025F">
          <w:rPr>
            <w:webHidden/>
          </w:rPr>
          <w:t>1</w:t>
        </w:r>
        <w:r w:rsidR="00057177" w:rsidRPr="00F61451">
          <w:rPr>
            <w:webHidden/>
          </w:rPr>
          <w:fldChar w:fldCharType="end"/>
        </w:r>
      </w:hyperlink>
    </w:p>
    <w:p w:rsidR="00D6044B" w:rsidRPr="00F61451" w:rsidRDefault="008A651E" w:rsidP="00D6044B">
      <w:pPr>
        <w:pStyle w:val="TOC2"/>
        <w:spacing w:after="360"/>
        <w:outlineLvl w:val="0"/>
        <w:rPr>
          <w:rFonts w:ascii="Calibri" w:hAnsi="Calibri"/>
          <w:smallCaps w:val="0"/>
          <w:sz w:val="22"/>
          <w:szCs w:val="22"/>
        </w:rPr>
      </w:pPr>
      <w:hyperlink w:anchor="_Toc329697887" w:history="1">
        <w:r w:rsidR="00D6044B" w:rsidRPr="00F61451">
          <w:rPr>
            <w:rStyle w:val="Hyperlink"/>
            <w:rFonts w:ascii="Times New Roman" w:hAnsi="Times New Roman"/>
          </w:rPr>
          <w:t>1.2</w:t>
        </w:r>
        <w:r w:rsidR="00D6044B" w:rsidRPr="00F61451">
          <w:rPr>
            <w:rFonts w:ascii="Calibri" w:hAnsi="Calibri"/>
            <w:smallCaps w:val="0"/>
            <w:sz w:val="22"/>
            <w:szCs w:val="22"/>
          </w:rPr>
          <w:tab/>
        </w:r>
        <w:r w:rsidR="00D6044B" w:rsidRPr="00F61451">
          <w:rPr>
            <w:rStyle w:val="Hyperlink"/>
            <w:rFonts w:ascii="Times New Roman" w:hAnsi="Times New Roman"/>
          </w:rPr>
          <w:t>Overview of Test Equipment Audits and Self Checks</w:t>
        </w:r>
        <w:r w:rsidR="00D6044B" w:rsidRPr="00F61451">
          <w:rPr>
            <w:webHidden/>
          </w:rPr>
          <w:tab/>
        </w:r>
        <w:r w:rsidR="00057177" w:rsidRPr="00F61451">
          <w:rPr>
            <w:webHidden/>
          </w:rPr>
          <w:fldChar w:fldCharType="begin"/>
        </w:r>
        <w:r w:rsidR="00D6044B" w:rsidRPr="00F61451">
          <w:rPr>
            <w:webHidden/>
          </w:rPr>
          <w:instrText xml:space="preserve"> PAGEREF _Toc329697887 \h </w:instrText>
        </w:r>
        <w:r w:rsidR="00057177" w:rsidRPr="00F61451">
          <w:rPr>
            <w:webHidden/>
          </w:rPr>
        </w:r>
        <w:r w:rsidR="00057177" w:rsidRPr="00F61451">
          <w:rPr>
            <w:webHidden/>
          </w:rPr>
          <w:fldChar w:fldCharType="separate"/>
        </w:r>
        <w:r w:rsidR="00DC025F">
          <w:rPr>
            <w:webHidden/>
          </w:rPr>
          <w:t>1</w:t>
        </w:r>
        <w:r w:rsidR="00057177" w:rsidRPr="00F61451">
          <w:rPr>
            <w:webHidden/>
          </w:rPr>
          <w:fldChar w:fldCharType="end"/>
        </w:r>
      </w:hyperlink>
    </w:p>
    <w:p w:rsidR="00D6044B" w:rsidRPr="00F61451" w:rsidRDefault="008A651E" w:rsidP="00D6044B">
      <w:pPr>
        <w:pStyle w:val="TOC1"/>
        <w:outlineLvl w:val="0"/>
        <w:rPr>
          <w:rFonts w:ascii="Calibri" w:hAnsi="Calibri"/>
          <w:b w:val="0"/>
          <w:caps w:val="0"/>
          <w:noProof/>
          <w:sz w:val="22"/>
          <w:szCs w:val="22"/>
        </w:rPr>
      </w:pPr>
      <w:hyperlink w:anchor="_Toc329697888" w:history="1">
        <w:r w:rsidR="00D6044B" w:rsidRPr="00F61451">
          <w:rPr>
            <w:rStyle w:val="Hyperlink"/>
            <w:noProof/>
          </w:rPr>
          <w:t>2.0</w:t>
        </w:r>
        <w:r w:rsidR="00D6044B" w:rsidRPr="00F61451">
          <w:rPr>
            <w:rFonts w:ascii="Calibri" w:hAnsi="Calibri"/>
            <w:b w:val="0"/>
            <w:caps w:val="0"/>
            <w:noProof/>
            <w:sz w:val="22"/>
            <w:szCs w:val="22"/>
          </w:rPr>
          <w:tab/>
        </w:r>
        <w:r w:rsidR="00D6044B" w:rsidRPr="00F61451">
          <w:rPr>
            <w:rStyle w:val="Hyperlink"/>
            <w:noProof/>
          </w:rPr>
          <w:t>Procedure for OBD Test Equipment Audits</w:t>
        </w:r>
        <w:r w:rsidR="00D6044B" w:rsidRPr="00F61451">
          <w:rPr>
            <w:noProof/>
            <w:webHidden/>
          </w:rPr>
          <w:tab/>
        </w:r>
        <w:r w:rsidR="00057177" w:rsidRPr="00F61451">
          <w:rPr>
            <w:noProof/>
            <w:webHidden/>
          </w:rPr>
          <w:fldChar w:fldCharType="begin"/>
        </w:r>
        <w:r w:rsidR="00D6044B" w:rsidRPr="00F61451">
          <w:rPr>
            <w:noProof/>
            <w:webHidden/>
          </w:rPr>
          <w:instrText xml:space="preserve"> PAGEREF _Toc329697888 \h </w:instrText>
        </w:r>
        <w:r w:rsidR="00057177" w:rsidRPr="00F61451">
          <w:rPr>
            <w:noProof/>
            <w:webHidden/>
          </w:rPr>
        </w:r>
        <w:r w:rsidR="00057177" w:rsidRPr="00F61451">
          <w:rPr>
            <w:noProof/>
            <w:webHidden/>
          </w:rPr>
          <w:fldChar w:fldCharType="separate"/>
        </w:r>
        <w:r w:rsidR="00DC025F">
          <w:rPr>
            <w:noProof/>
            <w:webHidden/>
          </w:rPr>
          <w:t>2</w:t>
        </w:r>
        <w:r w:rsidR="00057177" w:rsidRPr="00F61451">
          <w:rPr>
            <w:noProof/>
            <w:webHidden/>
          </w:rPr>
          <w:fldChar w:fldCharType="end"/>
        </w:r>
      </w:hyperlink>
    </w:p>
    <w:p w:rsidR="00D6044B" w:rsidRPr="00F61451" w:rsidRDefault="008A651E" w:rsidP="00D6044B">
      <w:pPr>
        <w:pStyle w:val="TOC1"/>
        <w:outlineLvl w:val="0"/>
        <w:rPr>
          <w:rFonts w:ascii="Calibri" w:hAnsi="Calibri"/>
          <w:b w:val="0"/>
          <w:caps w:val="0"/>
          <w:noProof/>
          <w:sz w:val="22"/>
          <w:szCs w:val="22"/>
        </w:rPr>
      </w:pPr>
      <w:hyperlink w:anchor="_Toc329697889" w:history="1">
        <w:r w:rsidR="00D6044B" w:rsidRPr="00F61451">
          <w:rPr>
            <w:rStyle w:val="Hyperlink"/>
            <w:noProof/>
          </w:rPr>
          <w:t>3.0</w:t>
        </w:r>
        <w:r w:rsidR="00D6044B" w:rsidRPr="00F61451">
          <w:rPr>
            <w:rFonts w:ascii="Calibri" w:hAnsi="Calibri"/>
            <w:b w:val="0"/>
            <w:caps w:val="0"/>
            <w:noProof/>
            <w:sz w:val="22"/>
            <w:szCs w:val="22"/>
          </w:rPr>
          <w:tab/>
        </w:r>
        <w:r w:rsidR="00D6044B" w:rsidRPr="00F61451">
          <w:rPr>
            <w:rStyle w:val="Hyperlink"/>
            <w:noProof/>
          </w:rPr>
          <w:t>Workstation Selection for OBD Equipment Audits</w:t>
        </w:r>
        <w:r w:rsidR="00D6044B" w:rsidRPr="00F61451">
          <w:rPr>
            <w:noProof/>
            <w:webHidden/>
          </w:rPr>
          <w:tab/>
        </w:r>
        <w:r w:rsidR="00057177" w:rsidRPr="00F61451">
          <w:rPr>
            <w:noProof/>
            <w:webHidden/>
          </w:rPr>
          <w:fldChar w:fldCharType="begin"/>
        </w:r>
        <w:r w:rsidR="00D6044B" w:rsidRPr="00F61451">
          <w:rPr>
            <w:noProof/>
            <w:webHidden/>
          </w:rPr>
          <w:instrText xml:space="preserve"> PAGEREF _Toc329697889 \h </w:instrText>
        </w:r>
        <w:r w:rsidR="00057177" w:rsidRPr="00F61451">
          <w:rPr>
            <w:noProof/>
            <w:webHidden/>
          </w:rPr>
        </w:r>
        <w:r w:rsidR="00057177" w:rsidRPr="00F61451">
          <w:rPr>
            <w:noProof/>
            <w:webHidden/>
          </w:rPr>
          <w:fldChar w:fldCharType="separate"/>
        </w:r>
        <w:r w:rsidR="00DC025F">
          <w:rPr>
            <w:noProof/>
            <w:webHidden/>
          </w:rPr>
          <w:t>4</w:t>
        </w:r>
        <w:r w:rsidR="00057177" w:rsidRPr="00F61451">
          <w:rPr>
            <w:noProof/>
            <w:webHidden/>
          </w:rPr>
          <w:fldChar w:fldCharType="end"/>
        </w:r>
      </w:hyperlink>
    </w:p>
    <w:p w:rsidR="00D6044B" w:rsidRPr="00F61451" w:rsidRDefault="008A651E" w:rsidP="00D6044B">
      <w:pPr>
        <w:pStyle w:val="TOC1"/>
        <w:outlineLvl w:val="0"/>
        <w:rPr>
          <w:rFonts w:ascii="Calibri" w:hAnsi="Calibri"/>
          <w:b w:val="0"/>
          <w:caps w:val="0"/>
          <w:noProof/>
          <w:sz w:val="22"/>
          <w:szCs w:val="22"/>
        </w:rPr>
      </w:pPr>
      <w:hyperlink w:anchor="_Toc329697890" w:history="1">
        <w:r w:rsidR="00D6044B" w:rsidRPr="00F61451">
          <w:rPr>
            <w:rStyle w:val="Hyperlink"/>
            <w:noProof/>
          </w:rPr>
          <w:t>4.0</w:t>
        </w:r>
        <w:r w:rsidR="00D6044B" w:rsidRPr="00F61451">
          <w:rPr>
            <w:rFonts w:ascii="Calibri" w:hAnsi="Calibri"/>
            <w:b w:val="0"/>
            <w:caps w:val="0"/>
            <w:noProof/>
            <w:sz w:val="22"/>
            <w:szCs w:val="22"/>
          </w:rPr>
          <w:tab/>
        </w:r>
        <w:r w:rsidR="00D6044B" w:rsidRPr="00F61451">
          <w:rPr>
            <w:rStyle w:val="Hyperlink"/>
            <w:noProof/>
          </w:rPr>
          <w:t>OBD Test Equipment Audits</w:t>
        </w:r>
        <w:r w:rsidR="00D6044B" w:rsidRPr="00F61451">
          <w:rPr>
            <w:noProof/>
            <w:webHidden/>
          </w:rPr>
          <w:tab/>
        </w:r>
        <w:r w:rsidR="00057177" w:rsidRPr="00F61451">
          <w:rPr>
            <w:noProof/>
            <w:webHidden/>
          </w:rPr>
          <w:fldChar w:fldCharType="begin"/>
        </w:r>
        <w:r w:rsidR="00D6044B" w:rsidRPr="00F61451">
          <w:rPr>
            <w:noProof/>
            <w:webHidden/>
          </w:rPr>
          <w:instrText xml:space="preserve"> PAGEREF _Toc329697890 \h </w:instrText>
        </w:r>
        <w:r w:rsidR="00057177" w:rsidRPr="00F61451">
          <w:rPr>
            <w:noProof/>
            <w:webHidden/>
          </w:rPr>
        </w:r>
        <w:r w:rsidR="00057177" w:rsidRPr="00F61451">
          <w:rPr>
            <w:noProof/>
            <w:webHidden/>
          </w:rPr>
          <w:fldChar w:fldCharType="separate"/>
        </w:r>
        <w:r w:rsidR="00DC025F">
          <w:rPr>
            <w:noProof/>
            <w:webHidden/>
          </w:rPr>
          <w:t>4</w:t>
        </w:r>
        <w:r w:rsidR="00057177" w:rsidRPr="00F61451">
          <w:rPr>
            <w:noProof/>
            <w:webHidden/>
          </w:rPr>
          <w:fldChar w:fldCharType="end"/>
        </w:r>
      </w:hyperlink>
    </w:p>
    <w:p w:rsidR="00D6044B" w:rsidRPr="00F61451" w:rsidRDefault="008A651E" w:rsidP="00D6044B">
      <w:pPr>
        <w:pStyle w:val="TOC1"/>
        <w:outlineLvl w:val="0"/>
        <w:rPr>
          <w:rFonts w:ascii="Calibri" w:hAnsi="Calibri"/>
          <w:b w:val="0"/>
          <w:caps w:val="0"/>
          <w:noProof/>
          <w:sz w:val="22"/>
          <w:szCs w:val="22"/>
        </w:rPr>
      </w:pPr>
      <w:hyperlink w:anchor="_Toc329697891" w:history="1">
        <w:r w:rsidR="00D6044B" w:rsidRPr="00F61451">
          <w:rPr>
            <w:rStyle w:val="Hyperlink"/>
            <w:noProof/>
          </w:rPr>
          <w:t>5.0</w:t>
        </w:r>
        <w:r w:rsidR="00D6044B" w:rsidRPr="00F61451">
          <w:rPr>
            <w:rFonts w:ascii="Calibri" w:hAnsi="Calibri"/>
            <w:b w:val="0"/>
            <w:caps w:val="0"/>
            <w:noProof/>
            <w:sz w:val="22"/>
            <w:szCs w:val="22"/>
          </w:rPr>
          <w:tab/>
        </w:r>
        <w:r w:rsidR="00D6044B" w:rsidRPr="00F61451">
          <w:rPr>
            <w:rStyle w:val="Hyperlink"/>
            <w:noProof/>
          </w:rPr>
          <w:t>Detailed OBD Test Equipment Audit Results</w:t>
        </w:r>
        <w:r w:rsidR="00D6044B" w:rsidRPr="00F61451">
          <w:rPr>
            <w:noProof/>
            <w:webHidden/>
          </w:rPr>
          <w:tab/>
        </w:r>
        <w:r w:rsidR="00057177" w:rsidRPr="00F61451">
          <w:rPr>
            <w:noProof/>
            <w:webHidden/>
          </w:rPr>
          <w:fldChar w:fldCharType="begin"/>
        </w:r>
        <w:r w:rsidR="00D6044B" w:rsidRPr="00F61451">
          <w:rPr>
            <w:noProof/>
            <w:webHidden/>
          </w:rPr>
          <w:instrText xml:space="preserve"> PAGEREF _Toc329697891 \h </w:instrText>
        </w:r>
        <w:r w:rsidR="00057177" w:rsidRPr="00F61451">
          <w:rPr>
            <w:noProof/>
            <w:webHidden/>
          </w:rPr>
        </w:r>
        <w:r w:rsidR="00057177" w:rsidRPr="00F61451">
          <w:rPr>
            <w:noProof/>
            <w:webHidden/>
          </w:rPr>
          <w:fldChar w:fldCharType="separate"/>
        </w:r>
        <w:r w:rsidR="00DC025F">
          <w:rPr>
            <w:noProof/>
            <w:webHidden/>
          </w:rPr>
          <w:t>5</w:t>
        </w:r>
        <w:r w:rsidR="00057177" w:rsidRPr="00F61451">
          <w:rPr>
            <w:noProof/>
            <w:webHidden/>
          </w:rPr>
          <w:fldChar w:fldCharType="end"/>
        </w:r>
      </w:hyperlink>
    </w:p>
    <w:p w:rsidR="00DA0B93" w:rsidRPr="007225C1" w:rsidRDefault="00057177" w:rsidP="00D6044B">
      <w:pPr>
        <w:pStyle w:val="TOC2"/>
        <w:spacing w:after="240"/>
        <w:outlineLvl w:val="0"/>
        <w:rPr>
          <w:highlight w:val="yellow"/>
        </w:rPr>
        <w:sectPr w:rsidR="00DA0B93" w:rsidRPr="007225C1">
          <w:pgSz w:w="12240" w:h="15840" w:code="207"/>
          <w:pgMar w:top="1440" w:right="1800" w:bottom="1440" w:left="1800" w:header="720" w:footer="720" w:gutter="0"/>
          <w:cols w:space="720"/>
          <w:docGrid w:linePitch="360"/>
        </w:sectPr>
      </w:pPr>
      <w:r w:rsidRPr="00F61451">
        <w:rPr>
          <w:rFonts w:ascii="Times New Roman" w:hAnsi="Times New Roman"/>
          <w:smallCaps w:val="0"/>
          <w:szCs w:val="22"/>
        </w:rPr>
        <w:fldChar w:fldCharType="end"/>
      </w:r>
    </w:p>
    <w:p w:rsidR="007C0444" w:rsidRPr="00F61451" w:rsidRDefault="0006186C" w:rsidP="005711D3">
      <w:pPr>
        <w:pStyle w:val="Heading1"/>
      </w:pPr>
      <w:bookmarkStart w:id="1" w:name="_Toc141791003"/>
      <w:bookmarkStart w:id="2" w:name="_Toc329697885"/>
      <w:bookmarkEnd w:id="1"/>
      <w:r w:rsidRPr="00F61451">
        <w:lastRenderedPageBreak/>
        <w:t>Background</w:t>
      </w:r>
      <w:bookmarkEnd w:id="2"/>
      <w:r w:rsidR="004723E1" w:rsidRPr="00F61451">
        <w:br/>
      </w:r>
    </w:p>
    <w:p w:rsidR="004D7F54" w:rsidRPr="00F61451" w:rsidRDefault="00A15D99" w:rsidP="004D7F54">
      <w:pPr>
        <w:pStyle w:val="Heading2"/>
        <w:rPr>
          <w:rFonts w:ascii="Times New Roman" w:hAnsi="Times New Roman"/>
        </w:rPr>
      </w:pPr>
      <w:bookmarkStart w:id="3" w:name="_Toc304279562"/>
      <w:bookmarkStart w:id="4" w:name="_Toc304279563"/>
      <w:bookmarkStart w:id="5" w:name="_Toc304279564"/>
      <w:bookmarkStart w:id="6" w:name="_Toc304279565"/>
      <w:bookmarkStart w:id="7" w:name="_Toc329697886"/>
      <w:bookmarkEnd w:id="3"/>
      <w:bookmarkEnd w:id="4"/>
      <w:bookmarkEnd w:id="5"/>
      <w:bookmarkEnd w:id="6"/>
      <w:r w:rsidRPr="00F61451">
        <w:rPr>
          <w:rFonts w:ascii="Times New Roman" w:hAnsi="Times New Roman"/>
        </w:rPr>
        <w:t>Types of Emissions Tests in Massachusetts</w:t>
      </w:r>
      <w:bookmarkEnd w:id="7"/>
    </w:p>
    <w:p w:rsidR="000A5E5A" w:rsidRPr="00F61451" w:rsidRDefault="000701EF" w:rsidP="000701EF">
      <w:pPr>
        <w:pStyle w:val="BodyText"/>
        <w:rPr>
          <w:u w:val="none"/>
        </w:rPr>
      </w:pPr>
      <w:r w:rsidRPr="00F61451">
        <w:rPr>
          <w:u w:val="none"/>
        </w:rPr>
        <w:t xml:space="preserve">Since October 1, 2008, the Massachusetts Vehicle Check program has employed only OBD testing for all vehicles required to receive an emissions test, with the exception of diesel vehicles with a Gross Vehicle Weight Rating (GVWR) greater than or equal to 10,000 pounds that are not equipped with OBD.  These diesel vehicles receive an opacity test.  </w:t>
      </w:r>
    </w:p>
    <w:p w:rsidR="0006186C" w:rsidRPr="00F61451" w:rsidRDefault="0006186C" w:rsidP="00EF2F8F">
      <w:pPr>
        <w:pStyle w:val="BodyText"/>
        <w:rPr>
          <w:u w:val="none"/>
        </w:rPr>
      </w:pPr>
    </w:p>
    <w:p w:rsidR="004D7F54" w:rsidRPr="00F61451" w:rsidRDefault="00A15D99" w:rsidP="004D7F54">
      <w:pPr>
        <w:pStyle w:val="Heading2"/>
        <w:rPr>
          <w:rFonts w:ascii="Times New Roman" w:hAnsi="Times New Roman"/>
        </w:rPr>
      </w:pPr>
      <w:bookmarkStart w:id="8" w:name="_Toc329697887"/>
      <w:r w:rsidRPr="00F61451">
        <w:rPr>
          <w:rFonts w:ascii="Times New Roman" w:hAnsi="Times New Roman"/>
        </w:rPr>
        <w:t xml:space="preserve">Overview of </w:t>
      </w:r>
      <w:r w:rsidR="00FD1879" w:rsidRPr="00F61451">
        <w:rPr>
          <w:rFonts w:ascii="Times New Roman" w:hAnsi="Times New Roman"/>
        </w:rPr>
        <w:t xml:space="preserve">Test </w:t>
      </w:r>
      <w:r w:rsidRPr="00F61451">
        <w:rPr>
          <w:rFonts w:ascii="Times New Roman" w:hAnsi="Times New Roman"/>
        </w:rPr>
        <w:t>Equipment Audits and Self Checks</w:t>
      </w:r>
      <w:bookmarkEnd w:id="8"/>
    </w:p>
    <w:p w:rsidR="0052015B" w:rsidRPr="00F61451" w:rsidRDefault="0052015B" w:rsidP="0052015B">
      <w:pPr>
        <w:pStyle w:val="PlainText"/>
        <w:rPr>
          <w:rFonts w:ascii="Times New Roman" w:hAnsi="Times New Roman" w:cs="Times New Roman"/>
          <w:sz w:val="24"/>
          <w:szCs w:val="24"/>
        </w:rPr>
      </w:pPr>
      <w:r w:rsidRPr="00F61451">
        <w:rPr>
          <w:rFonts w:ascii="Times New Roman" w:hAnsi="Times New Roman" w:cs="Times New Roman"/>
          <w:sz w:val="24"/>
          <w:szCs w:val="24"/>
        </w:rPr>
        <w:t xml:space="preserve">The Massachusetts Vehicle Check program uses </w:t>
      </w:r>
      <w:r w:rsidR="000701EF" w:rsidRPr="00F61451">
        <w:rPr>
          <w:rFonts w:ascii="Times New Roman" w:hAnsi="Times New Roman" w:cs="Times New Roman"/>
          <w:sz w:val="24"/>
          <w:szCs w:val="24"/>
        </w:rPr>
        <w:t xml:space="preserve">three </w:t>
      </w:r>
      <w:r w:rsidRPr="00F61451">
        <w:rPr>
          <w:rFonts w:ascii="Times New Roman" w:hAnsi="Times New Roman" w:cs="Times New Roman"/>
          <w:sz w:val="24"/>
          <w:szCs w:val="24"/>
        </w:rPr>
        <w:t xml:space="preserve">methods to ensure that the emissions test equipment is operating properly:  </w:t>
      </w:r>
    </w:p>
    <w:p w:rsidR="000701EF" w:rsidRPr="00F61451" w:rsidRDefault="0052015B" w:rsidP="0052015B">
      <w:pPr>
        <w:pStyle w:val="PlainText"/>
        <w:numPr>
          <w:ilvl w:val="0"/>
          <w:numId w:val="46"/>
        </w:numPr>
        <w:rPr>
          <w:rFonts w:ascii="Times New Roman" w:hAnsi="Times New Roman" w:cs="Times New Roman"/>
          <w:sz w:val="24"/>
          <w:szCs w:val="24"/>
        </w:rPr>
      </w:pPr>
      <w:r w:rsidRPr="00F61451">
        <w:rPr>
          <w:rFonts w:ascii="Times New Roman" w:hAnsi="Times New Roman" w:cs="Times New Roman"/>
          <w:sz w:val="24"/>
          <w:szCs w:val="24"/>
        </w:rPr>
        <w:t xml:space="preserve">The workstations have been designed to run daily “self-checks” so that equipment with significant issues is identified (and repaired) as quickly as possible, </w:t>
      </w:r>
    </w:p>
    <w:p w:rsidR="0052015B" w:rsidRPr="00F61451" w:rsidRDefault="000701EF" w:rsidP="0052015B">
      <w:pPr>
        <w:pStyle w:val="PlainText"/>
        <w:numPr>
          <w:ilvl w:val="0"/>
          <w:numId w:val="46"/>
        </w:numPr>
        <w:rPr>
          <w:rFonts w:ascii="Times New Roman" w:hAnsi="Times New Roman" w:cs="Times New Roman"/>
          <w:sz w:val="24"/>
          <w:szCs w:val="24"/>
        </w:rPr>
      </w:pPr>
      <w:r w:rsidRPr="00F61451">
        <w:rPr>
          <w:rFonts w:ascii="Times New Roman" w:hAnsi="Times New Roman" w:cs="Times New Roman"/>
          <w:sz w:val="24"/>
          <w:szCs w:val="24"/>
        </w:rPr>
        <w:t xml:space="preserve">Workstations check OBD cable and </w:t>
      </w:r>
      <w:r w:rsidR="008560C3" w:rsidRPr="00F61451">
        <w:rPr>
          <w:rFonts w:ascii="Times New Roman" w:hAnsi="Times New Roman" w:cs="Times New Roman"/>
          <w:sz w:val="24"/>
          <w:szCs w:val="24"/>
        </w:rPr>
        <w:t>connector</w:t>
      </w:r>
      <w:r w:rsidRPr="00F61451">
        <w:rPr>
          <w:rFonts w:ascii="Times New Roman" w:hAnsi="Times New Roman" w:cs="Times New Roman"/>
          <w:sz w:val="24"/>
          <w:szCs w:val="24"/>
        </w:rPr>
        <w:t xml:space="preserve"> continuity before allowing a vehicle to fail the OBD test for lack of communication, </w:t>
      </w:r>
      <w:r w:rsidR="0052015B" w:rsidRPr="00F61451">
        <w:rPr>
          <w:rFonts w:ascii="Times New Roman" w:hAnsi="Times New Roman" w:cs="Times New Roman"/>
          <w:sz w:val="24"/>
          <w:szCs w:val="24"/>
        </w:rPr>
        <w:t xml:space="preserve">and </w:t>
      </w:r>
    </w:p>
    <w:p w:rsidR="0052015B" w:rsidRPr="00F61451" w:rsidRDefault="0052015B" w:rsidP="0052015B">
      <w:pPr>
        <w:pStyle w:val="PlainText"/>
        <w:numPr>
          <w:ilvl w:val="0"/>
          <w:numId w:val="46"/>
        </w:numPr>
        <w:rPr>
          <w:rFonts w:ascii="Times New Roman" w:hAnsi="Times New Roman" w:cs="Times New Roman"/>
          <w:sz w:val="24"/>
          <w:szCs w:val="24"/>
        </w:rPr>
      </w:pPr>
      <w:r w:rsidRPr="00F61451">
        <w:rPr>
          <w:rFonts w:ascii="Times New Roman" w:hAnsi="Times New Roman" w:cs="Times New Roman"/>
          <w:sz w:val="24"/>
          <w:szCs w:val="24"/>
        </w:rPr>
        <w:t xml:space="preserve">RMV field </w:t>
      </w:r>
      <w:r w:rsidR="008560C3" w:rsidRPr="00F61451">
        <w:rPr>
          <w:rFonts w:ascii="Times New Roman" w:hAnsi="Times New Roman" w:cs="Times New Roman"/>
          <w:sz w:val="24"/>
          <w:szCs w:val="24"/>
        </w:rPr>
        <w:t xml:space="preserve">investigators </w:t>
      </w:r>
      <w:r w:rsidRPr="00F61451">
        <w:rPr>
          <w:rFonts w:ascii="Times New Roman" w:hAnsi="Times New Roman" w:cs="Times New Roman"/>
          <w:sz w:val="24"/>
          <w:szCs w:val="24"/>
        </w:rPr>
        <w:t>audit equipment performance in the field.</w:t>
      </w:r>
    </w:p>
    <w:p w:rsidR="0006186C" w:rsidRPr="00F61451" w:rsidRDefault="0006186C" w:rsidP="0006186C">
      <w:pPr>
        <w:pStyle w:val="BodyText"/>
        <w:rPr>
          <w:u w:val="none"/>
        </w:rPr>
      </w:pPr>
    </w:p>
    <w:p w:rsidR="004D7F54" w:rsidRPr="00F61451" w:rsidRDefault="00FD3497" w:rsidP="004D7F54">
      <w:r w:rsidRPr="00F61451">
        <w:t>Every 24 hours, the workstation is programmed to require the inspector to perform equipment checks that ensure the functionality of the OBD scan tool, printer, barcode scanner, and, if equipped, diesel opacity meter</w:t>
      </w:r>
      <w:r w:rsidR="0074391D" w:rsidRPr="00F61451">
        <w:t xml:space="preserve">.  </w:t>
      </w:r>
      <w:r w:rsidR="00C943D2" w:rsidRPr="00F61451">
        <w:t>The</w:t>
      </w:r>
      <w:r w:rsidRPr="00F61451">
        <w:t>se</w:t>
      </w:r>
      <w:r w:rsidR="00C943D2" w:rsidRPr="00F61451">
        <w:t xml:space="preserve"> </w:t>
      </w:r>
      <w:r w:rsidR="00F47E78" w:rsidRPr="00F61451">
        <w:t>self-</w:t>
      </w:r>
      <w:r w:rsidR="00C943D2" w:rsidRPr="00F61451">
        <w:t xml:space="preserve">checks include: </w:t>
      </w:r>
    </w:p>
    <w:p w:rsidR="00C943D2" w:rsidRPr="00F61451" w:rsidRDefault="00F46F62" w:rsidP="00C943D2">
      <w:pPr>
        <w:numPr>
          <w:ilvl w:val="2"/>
          <w:numId w:val="5"/>
        </w:numPr>
        <w:spacing w:before="100" w:beforeAutospacing="1" w:after="100" w:afterAutospacing="1"/>
      </w:pPr>
      <w:r w:rsidRPr="00F61451">
        <w:t xml:space="preserve">A </w:t>
      </w:r>
      <w:r w:rsidR="00C943D2" w:rsidRPr="00F61451">
        <w:t xml:space="preserve">daily </w:t>
      </w:r>
      <w:r w:rsidR="00D01B5E" w:rsidRPr="00F61451">
        <w:t>“</w:t>
      </w:r>
      <w:r w:rsidR="00C943D2" w:rsidRPr="00F61451">
        <w:t>loopback</w:t>
      </w:r>
      <w:r w:rsidR="00D01B5E" w:rsidRPr="00F61451">
        <w:t>”</w:t>
      </w:r>
      <w:r w:rsidR="00C943D2" w:rsidRPr="00F61451">
        <w:t xml:space="preserve"> check that tests the continuity of the OBD scan tool cable and pins in the Diagnostic Link Connector (DLC).  </w:t>
      </w:r>
      <w:r w:rsidR="000701EF" w:rsidRPr="00F61451">
        <w:t xml:space="preserve">If </w:t>
      </w:r>
      <w:r w:rsidR="00C943D2" w:rsidRPr="00F61451">
        <w:t>a loopback test fails, the workstation is locked out from performing OBD tests until a loopback check can be passed.</w:t>
      </w:r>
      <w:r w:rsidRPr="00F61451">
        <w:t xml:space="preserve">  Inspectors are also required to perform a loopback check prior to a vehicle failing its emissions test for failure to communicate with the workstation.  This is to verify that the emissions test failure is not related to an equipment-related problem.  </w:t>
      </w:r>
    </w:p>
    <w:p w:rsidR="00C943D2" w:rsidRPr="00F61451" w:rsidRDefault="00F46F62" w:rsidP="00C943D2">
      <w:pPr>
        <w:numPr>
          <w:ilvl w:val="2"/>
          <w:numId w:val="5"/>
        </w:numPr>
        <w:spacing w:before="100" w:beforeAutospacing="1" w:after="100" w:afterAutospacing="1"/>
      </w:pPr>
      <w:r w:rsidRPr="00F61451">
        <w:t xml:space="preserve">A daily </w:t>
      </w:r>
      <w:r w:rsidR="00C943D2" w:rsidRPr="00F61451">
        <w:t xml:space="preserve">printer/barcode scanner check </w:t>
      </w:r>
      <w:r w:rsidRPr="00F61451">
        <w:t>that tests print quality and the proper function of the barcode scanner.  T</w:t>
      </w:r>
      <w:r w:rsidR="00C943D2" w:rsidRPr="00F61451">
        <w:t>he workstation print</w:t>
      </w:r>
      <w:r w:rsidRPr="00F61451">
        <w:t>s</w:t>
      </w:r>
      <w:r w:rsidR="00C943D2" w:rsidRPr="00F61451">
        <w:t xml:space="preserve"> sample 1D and 2D barcodes and sample </w:t>
      </w:r>
      <w:r w:rsidR="00CD4AF5" w:rsidRPr="00F61451">
        <w:t>Vehicle Inspection Report (</w:t>
      </w:r>
      <w:r w:rsidR="00C943D2" w:rsidRPr="00F61451">
        <w:t>VIR</w:t>
      </w:r>
      <w:r w:rsidR="00CD4AF5" w:rsidRPr="00F61451">
        <w:t>)</w:t>
      </w:r>
      <w:r w:rsidR="00C943D2" w:rsidRPr="00F61451">
        <w:t xml:space="preserve"> text.  The inspector </w:t>
      </w:r>
      <w:r w:rsidR="00CD4AF5" w:rsidRPr="00F61451">
        <w:t>examines</w:t>
      </w:r>
      <w:r w:rsidR="00BD69A0" w:rsidRPr="00F61451">
        <w:t xml:space="preserve"> the quality of the print</w:t>
      </w:r>
      <w:r w:rsidR="00CD4AF5" w:rsidRPr="00F61451">
        <w:t xml:space="preserve">ed sample </w:t>
      </w:r>
      <w:r w:rsidR="00BD69A0" w:rsidRPr="00F61451">
        <w:t xml:space="preserve">and </w:t>
      </w:r>
      <w:r w:rsidR="00FB03A1" w:rsidRPr="00F61451">
        <w:t>records</w:t>
      </w:r>
      <w:r w:rsidR="00BD69A0" w:rsidRPr="00F61451">
        <w:t xml:space="preserve"> a failure </w:t>
      </w:r>
      <w:r w:rsidR="00C943D2" w:rsidRPr="00F61451">
        <w:t xml:space="preserve">if the text is not legible.  </w:t>
      </w:r>
      <w:r w:rsidR="00FB03A1" w:rsidRPr="00F61451">
        <w:t>If the print quality is good, t</w:t>
      </w:r>
      <w:r w:rsidR="00C943D2" w:rsidRPr="00F61451">
        <w:t xml:space="preserve">he inspector is then prompted to scan the 1D and 2D barcodes.  If the workstation cannot read the barcodes, </w:t>
      </w:r>
      <w:r w:rsidRPr="00F61451">
        <w:t xml:space="preserve">the workstation records a </w:t>
      </w:r>
      <w:r w:rsidR="008560C3" w:rsidRPr="00F61451">
        <w:t>failure</w:t>
      </w:r>
      <w:r w:rsidRPr="00F61451">
        <w:t>.  F</w:t>
      </w:r>
      <w:r w:rsidR="00C943D2" w:rsidRPr="00F61451">
        <w:t xml:space="preserve">ailure </w:t>
      </w:r>
      <w:r w:rsidR="00FB03A1" w:rsidRPr="00F61451">
        <w:t xml:space="preserve">to read the barcodes </w:t>
      </w:r>
      <w:r w:rsidR="00C943D2" w:rsidRPr="00F61451">
        <w:t xml:space="preserve">can be caused by a faulty barcode scanner or poor print quality.  If the printer/barcode scanner check fails, the workstation is locked out from performing </w:t>
      </w:r>
      <w:r w:rsidRPr="00F61451">
        <w:t xml:space="preserve">all </w:t>
      </w:r>
      <w:r w:rsidR="00C943D2" w:rsidRPr="00F61451">
        <w:t>inspections</w:t>
      </w:r>
      <w:r w:rsidR="00CF7465" w:rsidRPr="00F61451">
        <w:t xml:space="preserve"> until it can pass the check</w:t>
      </w:r>
      <w:r w:rsidR="00C943D2" w:rsidRPr="00F61451">
        <w:t>.</w:t>
      </w:r>
    </w:p>
    <w:p w:rsidR="00C943D2" w:rsidRPr="00F61451" w:rsidRDefault="005B2A57" w:rsidP="00C943D2">
      <w:pPr>
        <w:numPr>
          <w:ilvl w:val="2"/>
          <w:numId w:val="5"/>
        </w:numPr>
        <w:spacing w:before="100" w:beforeAutospacing="1" w:after="100" w:afterAutospacing="1"/>
      </w:pPr>
      <w:r w:rsidRPr="00F61451">
        <w:t xml:space="preserve">For workstations equipped with </w:t>
      </w:r>
      <w:r w:rsidR="00FB03A1" w:rsidRPr="00F61451">
        <w:t xml:space="preserve">diesel </w:t>
      </w:r>
      <w:r w:rsidRPr="00F61451">
        <w:t xml:space="preserve">opacity meters, </w:t>
      </w:r>
      <w:r w:rsidR="00DD5B40" w:rsidRPr="00F61451">
        <w:t xml:space="preserve">the </w:t>
      </w:r>
      <w:r w:rsidR="0009447C" w:rsidRPr="00F61451">
        <w:t>three</w:t>
      </w:r>
      <w:r w:rsidR="00C943D2" w:rsidRPr="00F61451">
        <w:t xml:space="preserve"> daily self-checks</w:t>
      </w:r>
      <w:r w:rsidR="00DD5B40" w:rsidRPr="00F61451">
        <w:t xml:space="preserve"> are</w:t>
      </w:r>
      <w:r w:rsidR="00C943D2" w:rsidRPr="00F61451">
        <w:t xml:space="preserve"> electronic zero and span</w:t>
      </w:r>
      <w:r w:rsidR="009A0E0A" w:rsidRPr="00F61451">
        <w:t>;</w:t>
      </w:r>
      <w:r w:rsidR="00C943D2" w:rsidRPr="00F61451">
        <w:t xml:space="preserve"> accuracy</w:t>
      </w:r>
      <w:r w:rsidR="009A0E0A" w:rsidRPr="00F61451">
        <w:t xml:space="preserve"> </w:t>
      </w:r>
      <w:r w:rsidR="00C943D2" w:rsidRPr="00F61451">
        <w:t>at 37.5% opacity</w:t>
      </w:r>
      <w:r w:rsidR="009A0E0A" w:rsidRPr="00F61451">
        <w:t>;</w:t>
      </w:r>
      <w:r w:rsidR="00451295" w:rsidRPr="00F61451">
        <w:t xml:space="preserve"> and current draw </w:t>
      </w:r>
      <w:r w:rsidR="00C943D2" w:rsidRPr="00F61451">
        <w:t>of the sample fan</w:t>
      </w:r>
      <w:r w:rsidR="004302A4" w:rsidRPr="00F61451">
        <w:t>.</w:t>
      </w:r>
      <w:r w:rsidR="00C943D2" w:rsidRPr="00F61451">
        <w:t xml:space="preserve">  All three checks have tolerances which must be met to pass.  If any of the three checks fail</w:t>
      </w:r>
      <w:r w:rsidR="00831C82" w:rsidRPr="00F61451">
        <w:t>s</w:t>
      </w:r>
      <w:r w:rsidR="00C943D2" w:rsidRPr="00F61451">
        <w:t xml:space="preserve">, the workstation is locked out from performing diesel opacity tests until all three checks pass.  </w:t>
      </w:r>
    </w:p>
    <w:p w:rsidR="004D7F54" w:rsidRPr="00F61451" w:rsidRDefault="009447EF" w:rsidP="004D7F54">
      <w:pPr>
        <w:pStyle w:val="Heading1"/>
        <w:keepLines w:val="0"/>
      </w:pPr>
      <w:bookmarkStart w:id="9" w:name="_Toc304279568"/>
      <w:bookmarkStart w:id="10" w:name="_Toc304279569"/>
      <w:bookmarkStart w:id="11" w:name="_Toc304279570"/>
      <w:bookmarkStart w:id="12" w:name="_Toc304279571"/>
      <w:bookmarkStart w:id="13" w:name="_Toc304279572"/>
      <w:bookmarkStart w:id="14" w:name="_Toc304279573"/>
      <w:bookmarkStart w:id="15" w:name="_Toc329697888"/>
      <w:bookmarkEnd w:id="9"/>
      <w:bookmarkEnd w:id="10"/>
      <w:bookmarkEnd w:id="11"/>
      <w:bookmarkEnd w:id="12"/>
      <w:bookmarkEnd w:id="13"/>
      <w:bookmarkEnd w:id="14"/>
      <w:r w:rsidRPr="00F61451">
        <w:lastRenderedPageBreak/>
        <w:t>Procedure for OBD</w:t>
      </w:r>
      <w:r w:rsidR="004C5F77" w:rsidRPr="00F61451">
        <w:t xml:space="preserve"> Test Equipment </w:t>
      </w:r>
      <w:r w:rsidRPr="00F61451">
        <w:t>Audits</w:t>
      </w:r>
      <w:bookmarkEnd w:id="15"/>
      <w:r w:rsidRPr="00F61451">
        <w:t xml:space="preserve"> </w:t>
      </w:r>
    </w:p>
    <w:p w:rsidR="004D7F54" w:rsidRPr="00F61451" w:rsidRDefault="004D7F54" w:rsidP="00545B5F">
      <w:pPr>
        <w:pStyle w:val="BodyText"/>
        <w:keepNext/>
      </w:pPr>
    </w:p>
    <w:p w:rsidR="004D7F54" w:rsidRPr="00F61451" w:rsidRDefault="00002CA0" w:rsidP="004D7F54">
      <w:pPr>
        <w:pStyle w:val="BodyText"/>
        <w:rPr>
          <w:u w:val="none"/>
        </w:rPr>
      </w:pPr>
      <w:r w:rsidRPr="00F61451">
        <w:rPr>
          <w:u w:val="none"/>
        </w:rPr>
        <w:t>Sierra Research (Sierra) of Sacramento, CA</w:t>
      </w:r>
      <w:r w:rsidRPr="00F61451" w:rsidDel="00002CA0">
        <w:rPr>
          <w:u w:val="none"/>
        </w:rPr>
        <w:t xml:space="preserve"> </w:t>
      </w:r>
      <w:r w:rsidR="00F65470" w:rsidRPr="00F61451">
        <w:rPr>
          <w:u w:val="none"/>
        </w:rPr>
        <w:t>developed general equipment audit guidelines for EPA for ASM-type equipment used in transient test I&amp;M programs</w:t>
      </w:r>
      <w:r w:rsidR="004D7F54" w:rsidRPr="00F61451">
        <w:rPr>
          <w:u w:val="none"/>
          <w:vertAlign w:val="superscript"/>
        </w:rPr>
        <w:footnoteReference w:id="1"/>
      </w:r>
      <w:r w:rsidR="008D0F4B" w:rsidRPr="00F61451">
        <w:rPr>
          <w:u w:val="none"/>
        </w:rPr>
        <w:t xml:space="preserve">. </w:t>
      </w:r>
      <w:r w:rsidR="00F65470" w:rsidRPr="00F61451">
        <w:rPr>
          <w:u w:val="none"/>
        </w:rPr>
        <w:t xml:space="preserve"> </w:t>
      </w:r>
      <w:r w:rsidR="00E64B22" w:rsidRPr="00F61451">
        <w:rPr>
          <w:u w:val="none"/>
        </w:rPr>
        <w:t xml:space="preserve">The guidelines include auditing procedures for OBD test equipment, and </w:t>
      </w:r>
      <w:r w:rsidR="00F65470" w:rsidRPr="00F61451">
        <w:rPr>
          <w:u w:val="none"/>
        </w:rPr>
        <w:t xml:space="preserve">MassDEP’s </w:t>
      </w:r>
      <w:r w:rsidR="00F900E9" w:rsidRPr="00F61451">
        <w:rPr>
          <w:u w:val="none"/>
        </w:rPr>
        <w:t xml:space="preserve">OBD </w:t>
      </w:r>
      <w:r w:rsidR="00F65470" w:rsidRPr="00F61451">
        <w:rPr>
          <w:u w:val="none"/>
        </w:rPr>
        <w:t xml:space="preserve">audit procedures </w:t>
      </w:r>
      <w:r w:rsidR="00E64B22" w:rsidRPr="00F61451">
        <w:rPr>
          <w:u w:val="none"/>
        </w:rPr>
        <w:t xml:space="preserve">were developed </w:t>
      </w:r>
      <w:r w:rsidR="004E5E30" w:rsidRPr="00F61451">
        <w:rPr>
          <w:u w:val="none"/>
        </w:rPr>
        <w:t xml:space="preserve">to be </w:t>
      </w:r>
      <w:r w:rsidR="00F65470" w:rsidRPr="00F61451">
        <w:rPr>
          <w:u w:val="none"/>
        </w:rPr>
        <w:t>consistent with EPA’s guidance</w:t>
      </w:r>
      <w:r w:rsidR="00FD31C2" w:rsidRPr="00F61451">
        <w:rPr>
          <w:u w:val="none"/>
        </w:rPr>
        <w:t>.</w:t>
      </w:r>
      <w:r w:rsidR="004D1F88" w:rsidRPr="00F61451">
        <w:rPr>
          <w:u w:val="none"/>
        </w:rPr>
        <w:t xml:space="preserve"> </w:t>
      </w:r>
      <w:r w:rsidR="00FD31C2" w:rsidRPr="00F61451">
        <w:rPr>
          <w:u w:val="none"/>
        </w:rPr>
        <w:t xml:space="preserve"> </w:t>
      </w:r>
      <w:r w:rsidR="00C8063D" w:rsidRPr="00F61451">
        <w:rPr>
          <w:u w:val="none"/>
        </w:rPr>
        <w:t xml:space="preserve">The </w:t>
      </w:r>
      <w:r w:rsidR="000030EB" w:rsidRPr="00F61451">
        <w:rPr>
          <w:u w:val="none"/>
        </w:rPr>
        <w:t xml:space="preserve">three OBD audit parts are listed in Table 1.  </w:t>
      </w:r>
    </w:p>
    <w:p w:rsidR="004D7F54" w:rsidRPr="00F61451" w:rsidRDefault="004D7F54" w:rsidP="004D7F54">
      <w:pPr>
        <w:pStyle w:val="BodyText"/>
      </w:pPr>
    </w:p>
    <w:p w:rsidR="00A51123" w:rsidRPr="00F61451" w:rsidRDefault="00A51123" w:rsidP="000C2903">
      <w:pPr>
        <w:pStyle w:val="Heading7"/>
        <w:keepLines/>
        <w:rPr>
          <w:rFonts w:ascii="Times New Roman" w:hAnsi="Times New Roman"/>
        </w:rPr>
      </w:pPr>
      <w:r w:rsidRPr="00F61451">
        <w:rPr>
          <w:rFonts w:ascii="Times New Roman" w:hAnsi="Times New Roman"/>
        </w:rPr>
        <w:t xml:space="preserve">Table 1: Audit Parts in the </w:t>
      </w:r>
      <w:r w:rsidR="00C8063D" w:rsidRPr="00F61451">
        <w:rPr>
          <w:rFonts w:ascii="Times New Roman" w:hAnsi="Times New Roman"/>
        </w:rPr>
        <w:t xml:space="preserve">Massachusetts </w:t>
      </w:r>
      <w:r w:rsidRPr="00F61451">
        <w:rPr>
          <w:rFonts w:ascii="Times New Roman" w:hAnsi="Times New Roman"/>
        </w:rPr>
        <w:t xml:space="preserve">OBD Test Equipment Audit </w:t>
      </w:r>
    </w:p>
    <w:p w:rsidR="004D7F54" w:rsidRPr="00F61451" w:rsidRDefault="004D7F54" w:rsidP="004D7F54">
      <w:pPr>
        <w:pStyle w:val="BodyText"/>
        <w:keepNext/>
        <w:keepLines/>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950"/>
        <w:gridCol w:w="1350"/>
      </w:tblGrid>
      <w:tr w:rsidR="00A51123" w:rsidRPr="00F61451" w:rsidTr="00EE6EED">
        <w:trPr>
          <w:cantSplit/>
        </w:trPr>
        <w:tc>
          <w:tcPr>
            <w:tcW w:w="2178" w:type="dxa"/>
            <w:vAlign w:val="bottom"/>
          </w:tcPr>
          <w:p w:rsidR="004D3ACD" w:rsidRPr="00F61451" w:rsidRDefault="00A51123">
            <w:pPr>
              <w:pStyle w:val="BodyText"/>
              <w:keepNext/>
              <w:keepLines/>
              <w:rPr>
                <w:b/>
                <w:u w:val="none"/>
              </w:rPr>
            </w:pPr>
            <w:r w:rsidRPr="00F61451">
              <w:rPr>
                <w:b/>
                <w:u w:val="none"/>
              </w:rPr>
              <w:t>Audit Part</w:t>
            </w:r>
          </w:p>
        </w:tc>
        <w:tc>
          <w:tcPr>
            <w:tcW w:w="4950" w:type="dxa"/>
            <w:vAlign w:val="bottom"/>
          </w:tcPr>
          <w:p w:rsidR="004D3ACD" w:rsidRPr="00F61451" w:rsidRDefault="00A51123">
            <w:pPr>
              <w:pStyle w:val="BodyText"/>
              <w:keepNext/>
              <w:keepLines/>
              <w:rPr>
                <w:b/>
                <w:u w:val="none"/>
              </w:rPr>
            </w:pPr>
            <w:r w:rsidRPr="00F61451">
              <w:rPr>
                <w:b/>
                <w:u w:val="none"/>
              </w:rPr>
              <w:t>Description</w:t>
            </w:r>
          </w:p>
        </w:tc>
        <w:tc>
          <w:tcPr>
            <w:tcW w:w="1350" w:type="dxa"/>
            <w:vAlign w:val="bottom"/>
          </w:tcPr>
          <w:p w:rsidR="004D3ACD" w:rsidRPr="00F61451" w:rsidRDefault="00B01E18">
            <w:pPr>
              <w:pStyle w:val="BodyText"/>
              <w:keepNext/>
              <w:keepLines/>
              <w:rPr>
                <w:b/>
                <w:u w:val="none"/>
              </w:rPr>
            </w:pPr>
            <w:r w:rsidRPr="00F61451">
              <w:rPr>
                <w:b/>
                <w:u w:val="none"/>
              </w:rPr>
              <w:t xml:space="preserve">Included in </w:t>
            </w:r>
            <w:r w:rsidR="00A51123" w:rsidRPr="00F61451">
              <w:rPr>
                <w:b/>
                <w:u w:val="none"/>
              </w:rPr>
              <w:t>EPA’s Audit Guidance?</w:t>
            </w:r>
          </w:p>
        </w:tc>
      </w:tr>
      <w:tr w:rsidR="00A51123" w:rsidRPr="00F61451" w:rsidTr="00EE6EED">
        <w:trPr>
          <w:cantSplit/>
        </w:trPr>
        <w:tc>
          <w:tcPr>
            <w:tcW w:w="2178" w:type="dxa"/>
          </w:tcPr>
          <w:p w:rsidR="00A51123" w:rsidRPr="00F61451" w:rsidRDefault="00A51123" w:rsidP="000C2903">
            <w:pPr>
              <w:pStyle w:val="BodyText"/>
              <w:keepNext/>
              <w:keepLines/>
              <w:rPr>
                <w:u w:val="none"/>
              </w:rPr>
            </w:pPr>
            <w:r w:rsidRPr="00F61451">
              <w:rPr>
                <w:u w:val="none"/>
              </w:rPr>
              <w:t>Communications Check</w:t>
            </w:r>
          </w:p>
        </w:tc>
        <w:tc>
          <w:tcPr>
            <w:tcW w:w="4950" w:type="dxa"/>
          </w:tcPr>
          <w:p w:rsidR="00C97F08" w:rsidRPr="00F61451" w:rsidRDefault="009447EF" w:rsidP="000C2903">
            <w:pPr>
              <w:pStyle w:val="BodyText"/>
              <w:keepNext/>
              <w:keepLines/>
              <w:rPr>
                <w:u w:val="none"/>
              </w:rPr>
            </w:pPr>
            <w:r w:rsidRPr="00F61451">
              <w:rPr>
                <w:u w:val="none"/>
              </w:rPr>
              <w:t xml:space="preserve">Automated check of the OBD test equipment’s ability to communicate with the OBD </w:t>
            </w:r>
            <w:r w:rsidR="008826F8" w:rsidRPr="00F61451">
              <w:rPr>
                <w:u w:val="none"/>
              </w:rPr>
              <w:t xml:space="preserve">vehicle </w:t>
            </w:r>
            <w:r w:rsidR="0009447C" w:rsidRPr="00F61451">
              <w:rPr>
                <w:u w:val="none"/>
              </w:rPr>
              <w:t>simulator</w:t>
            </w:r>
            <w:r w:rsidR="0074391D" w:rsidRPr="00F61451">
              <w:rPr>
                <w:u w:val="none"/>
              </w:rPr>
              <w:t xml:space="preserve">.  </w:t>
            </w:r>
          </w:p>
        </w:tc>
        <w:tc>
          <w:tcPr>
            <w:tcW w:w="1350" w:type="dxa"/>
          </w:tcPr>
          <w:p w:rsidR="00A51123" w:rsidRPr="00F61451" w:rsidRDefault="00A51123" w:rsidP="000C2903">
            <w:pPr>
              <w:pStyle w:val="BodyText"/>
              <w:keepNext/>
              <w:keepLines/>
              <w:jc w:val="center"/>
              <w:rPr>
                <w:u w:val="none"/>
              </w:rPr>
            </w:pPr>
            <w:r w:rsidRPr="00F61451">
              <w:rPr>
                <w:rFonts w:ascii="Arial Narrow" w:hAnsi="Arial Narrow"/>
                <w:b/>
                <w:u w:val="none"/>
              </w:rPr>
              <w:t>√</w:t>
            </w:r>
          </w:p>
        </w:tc>
      </w:tr>
      <w:tr w:rsidR="00A51123" w:rsidRPr="00F61451" w:rsidTr="00EE6EED">
        <w:trPr>
          <w:cantSplit/>
        </w:trPr>
        <w:tc>
          <w:tcPr>
            <w:tcW w:w="2178" w:type="dxa"/>
          </w:tcPr>
          <w:p w:rsidR="00A51123" w:rsidRPr="00F61451" w:rsidRDefault="00A51123" w:rsidP="000C2903">
            <w:pPr>
              <w:pStyle w:val="BodyText"/>
              <w:keepNext/>
              <w:keepLines/>
              <w:rPr>
                <w:u w:val="none"/>
              </w:rPr>
            </w:pPr>
            <w:r w:rsidRPr="00F61451">
              <w:rPr>
                <w:u w:val="none"/>
              </w:rPr>
              <w:t>Accuracy Check</w:t>
            </w:r>
          </w:p>
        </w:tc>
        <w:tc>
          <w:tcPr>
            <w:tcW w:w="4950" w:type="dxa"/>
          </w:tcPr>
          <w:p w:rsidR="00A51123" w:rsidRPr="00F61451" w:rsidRDefault="00A51123" w:rsidP="00F2582A">
            <w:pPr>
              <w:pStyle w:val="BodyText"/>
              <w:keepNext/>
              <w:keepLines/>
              <w:rPr>
                <w:u w:val="none"/>
              </w:rPr>
            </w:pPr>
            <w:r w:rsidRPr="00F61451">
              <w:rPr>
                <w:u w:val="none"/>
              </w:rPr>
              <w:t xml:space="preserve">Accuracy check of the OBD </w:t>
            </w:r>
            <w:r w:rsidR="009A7446" w:rsidRPr="00F61451">
              <w:rPr>
                <w:u w:val="none"/>
              </w:rPr>
              <w:t xml:space="preserve">test </w:t>
            </w:r>
            <w:r w:rsidRPr="00F61451">
              <w:rPr>
                <w:u w:val="none"/>
              </w:rPr>
              <w:t>equipment’s ability to retrieve specific diagnostic trouble codes (DTCs), readiness monitor status, and other data</w:t>
            </w:r>
            <w:r w:rsidR="00F2582A" w:rsidRPr="00F61451">
              <w:rPr>
                <w:u w:val="none"/>
              </w:rPr>
              <w:t>, including engine RPM</w:t>
            </w:r>
            <w:r w:rsidRPr="00F61451">
              <w:rPr>
                <w:u w:val="none"/>
              </w:rPr>
              <w:t xml:space="preserve">. </w:t>
            </w:r>
            <w:r w:rsidR="00047C13" w:rsidRPr="00F61451">
              <w:rPr>
                <w:u w:val="none"/>
              </w:rPr>
              <w:t xml:space="preserve"> </w:t>
            </w:r>
          </w:p>
        </w:tc>
        <w:tc>
          <w:tcPr>
            <w:tcW w:w="1350" w:type="dxa"/>
          </w:tcPr>
          <w:p w:rsidR="00047C13" w:rsidRPr="00F61451" w:rsidRDefault="00A51123" w:rsidP="000C2903">
            <w:pPr>
              <w:pStyle w:val="BodyText"/>
              <w:keepNext/>
              <w:keepLines/>
              <w:jc w:val="center"/>
              <w:rPr>
                <w:rFonts w:ascii="Arial Narrow" w:hAnsi="Arial Narrow"/>
                <w:b/>
                <w:u w:val="none"/>
              </w:rPr>
            </w:pPr>
            <w:r w:rsidRPr="00F61451">
              <w:rPr>
                <w:rFonts w:ascii="Arial Narrow" w:hAnsi="Arial Narrow"/>
                <w:b/>
                <w:u w:val="none"/>
              </w:rPr>
              <w:t>√</w:t>
            </w:r>
          </w:p>
          <w:p w:rsidR="00A51123" w:rsidRPr="00F61451" w:rsidRDefault="00047C13" w:rsidP="000C2903">
            <w:pPr>
              <w:pStyle w:val="BodyText"/>
              <w:keepNext/>
              <w:keepLines/>
              <w:jc w:val="center"/>
              <w:rPr>
                <w:u w:val="none"/>
              </w:rPr>
            </w:pPr>
            <w:r w:rsidRPr="00F61451">
              <w:rPr>
                <w:u w:val="none"/>
              </w:rPr>
              <w:t>Modified</w:t>
            </w:r>
          </w:p>
        </w:tc>
      </w:tr>
      <w:tr w:rsidR="00852BFA" w:rsidRPr="00F61451" w:rsidTr="00852BFA">
        <w:trPr>
          <w:cantSplit/>
        </w:trPr>
        <w:tc>
          <w:tcPr>
            <w:tcW w:w="2178" w:type="dxa"/>
          </w:tcPr>
          <w:p w:rsidR="00852BFA" w:rsidRPr="00F61451" w:rsidRDefault="00852BFA" w:rsidP="000C2903">
            <w:pPr>
              <w:pStyle w:val="BodyText"/>
              <w:keepNext/>
              <w:keepLines/>
              <w:rPr>
                <w:u w:val="none"/>
              </w:rPr>
            </w:pPr>
            <w:r w:rsidRPr="00F61451">
              <w:rPr>
                <w:u w:val="none"/>
              </w:rPr>
              <w:t>Visual Cable and Connector Check</w:t>
            </w:r>
          </w:p>
        </w:tc>
        <w:tc>
          <w:tcPr>
            <w:tcW w:w="4950" w:type="dxa"/>
          </w:tcPr>
          <w:p w:rsidR="00852BFA" w:rsidRPr="00F61451" w:rsidRDefault="00852BFA" w:rsidP="000C2903">
            <w:pPr>
              <w:pStyle w:val="BodyText"/>
              <w:keepNext/>
              <w:keepLines/>
              <w:rPr>
                <w:u w:val="none"/>
              </w:rPr>
            </w:pPr>
            <w:r w:rsidRPr="00F61451">
              <w:rPr>
                <w:u w:val="none"/>
              </w:rPr>
              <w:t>Visual check of the cables and connector condition.</w:t>
            </w:r>
          </w:p>
        </w:tc>
        <w:tc>
          <w:tcPr>
            <w:tcW w:w="1350" w:type="dxa"/>
          </w:tcPr>
          <w:p w:rsidR="00852BFA" w:rsidRPr="00F61451" w:rsidRDefault="00852BFA" w:rsidP="000C2903">
            <w:pPr>
              <w:pStyle w:val="BodyText"/>
              <w:keepNext/>
              <w:keepLines/>
              <w:jc w:val="center"/>
              <w:rPr>
                <w:u w:val="none"/>
              </w:rPr>
            </w:pPr>
            <w:r w:rsidRPr="00F61451">
              <w:rPr>
                <w:rFonts w:ascii="Arial Narrow" w:hAnsi="Arial Narrow"/>
                <w:b/>
                <w:u w:val="none"/>
              </w:rPr>
              <w:t>√</w:t>
            </w:r>
          </w:p>
        </w:tc>
      </w:tr>
    </w:tbl>
    <w:p w:rsidR="004D7F54" w:rsidRPr="00F61451" w:rsidRDefault="004D7F54" w:rsidP="004D7F54">
      <w:pPr>
        <w:pStyle w:val="BodyText"/>
      </w:pPr>
    </w:p>
    <w:p w:rsidR="00DD4261" w:rsidRPr="00F61451" w:rsidRDefault="00F900E9" w:rsidP="00DD4261">
      <w:r w:rsidRPr="00F61451">
        <w:t xml:space="preserve">In 2009, MassDEP </w:t>
      </w:r>
      <w:r w:rsidR="00777632" w:rsidRPr="00F61451">
        <w:t>revised its OBD</w:t>
      </w:r>
      <w:r w:rsidR="00D12AD3" w:rsidRPr="00F61451">
        <w:t xml:space="preserve"> </w:t>
      </w:r>
      <w:r w:rsidR="00F843A0" w:rsidRPr="00F61451">
        <w:t xml:space="preserve">test </w:t>
      </w:r>
      <w:r w:rsidR="004D1F88" w:rsidRPr="00F61451">
        <w:t>equipment audit</w:t>
      </w:r>
      <w:r w:rsidR="00777632" w:rsidRPr="00F61451">
        <w:t xml:space="preserve"> procedures </w:t>
      </w:r>
      <w:r w:rsidR="004800EE" w:rsidRPr="00F61451">
        <w:t xml:space="preserve">by </w:t>
      </w:r>
      <w:r w:rsidR="003017AD" w:rsidRPr="00F61451">
        <w:t xml:space="preserve">modifying the RPM </w:t>
      </w:r>
      <w:r w:rsidR="00047C13" w:rsidRPr="00F61451">
        <w:t xml:space="preserve">portion of the </w:t>
      </w:r>
      <w:r w:rsidR="001F082E" w:rsidRPr="00F61451">
        <w:t>accuracy check</w:t>
      </w:r>
      <w:r w:rsidR="004E5E30" w:rsidRPr="00F61451">
        <w:t>,</w:t>
      </w:r>
      <w:r w:rsidR="003017AD" w:rsidRPr="00F61451">
        <w:t xml:space="preserve"> and </w:t>
      </w:r>
      <w:r w:rsidR="004E5E30" w:rsidRPr="00F61451">
        <w:t xml:space="preserve">by </w:t>
      </w:r>
      <w:r w:rsidR="00FD31C2" w:rsidRPr="00F61451">
        <w:t>adding</w:t>
      </w:r>
      <w:r w:rsidR="00047C13" w:rsidRPr="00F61451">
        <w:t xml:space="preserve"> to the</w:t>
      </w:r>
      <w:r w:rsidR="00FD31C2" w:rsidRPr="00F61451">
        <w:t xml:space="preserve"> </w:t>
      </w:r>
      <w:r w:rsidR="004800EE" w:rsidRPr="00F61451">
        <w:t xml:space="preserve">items </w:t>
      </w:r>
      <w:r w:rsidR="00FD31C2" w:rsidRPr="00F61451">
        <w:t xml:space="preserve">to be </w:t>
      </w:r>
      <w:r w:rsidR="004800EE" w:rsidRPr="00F61451">
        <w:t>checked during the accuracy check</w:t>
      </w:r>
      <w:r w:rsidR="003017AD" w:rsidRPr="00F61451">
        <w:t xml:space="preserve">.  The RPM check was modified </w:t>
      </w:r>
      <w:r w:rsidR="0092551B" w:rsidRPr="00F61451">
        <w:t>to test</w:t>
      </w:r>
      <w:r w:rsidR="003017AD" w:rsidRPr="00F61451">
        <w:t xml:space="preserve"> only one RPM setting (5,000 RPM) instead of </w:t>
      </w:r>
      <w:r w:rsidR="0070684A" w:rsidRPr="00F61451">
        <w:t xml:space="preserve">the </w:t>
      </w:r>
      <w:r w:rsidR="003017AD" w:rsidRPr="00F61451">
        <w:t xml:space="preserve">two </w:t>
      </w:r>
      <w:r w:rsidR="0070684A" w:rsidRPr="00F61451">
        <w:t xml:space="preserve">RPMs </w:t>
      </w:r>
      <w:r w:rsidR="0092551B" w:rsidRPr="00F61451">
        <w:t>recommended</w:t>
      </w:r>
      <w:r w:rsidR="0070684A" w:rsidRPr="00F61451">
        <w:t xml:space="preserve"> in EPA’s audit guidance </w:t>
      </w:r>
      <w:r w:rsidR="003017AD" w:rsidRPr="00F61451">
        <w:t xml:space="preserve">(700 and 2500), and </w:t>
      </w:r>
      <w:r w:rsidR="0092551B" w:rsidRPr="00F61451">
        <w:t>to require</w:t>
      </w:r>
      <w:r w:rsidR="003017AD" w:rsidRPr="00F61451">
        <w:t xml:space="preserve"> that workstation</w:t>
      </w:r>
      <w:r w:rsidR="00146C4A" w:rsidRPr="00F61451">
        <w:t>s</w:t>
      </w:r>
      <w:r w:rsidR="003017AD" w:rsidRPr="00F61451">
        <w:t xml:space="preserve"> must read exactly 5,000 RPM instead of within </w:t>
      </w:r>
      <w:r w:rsidR="00C84790" w:rsidRPr="00F61451">
        <w:t>the</w:t>
      </w:r>
      <w:r w:rsidR="00B40819" w:rsidRPr="00F61451">
        <w:t xml:space="preserve"> range of </w:t>
      </w:r>
      <w:r w:rsidR="003017AD" w:rsidRPr="00F61451">
        <w:t>± 3%</w:t>
      </w:r>
      <w:r w:rsidR="0092551B" w:rsidRPr="00F61451">
        <w:t xml:space="preserve"> that was recommended in EPA’s guidance</w:t>
      </w:r>
      <w:r w:rsidR="003017AD" w:rsidRPr="00F61451">
        <w:t xml:space="preserve">.  </w:t>
      </w:r>
      <w:r w:rsidR="00E92AF0" w:rsidRPr="00F61451">
        <w:t xml:space="preserve">The results of </w:t>
      </w:r>
      <w:r w:rsidR="00146C4A" w:rsidRPr="00F61451">
        <w:t xml:space="preserve">MassDEP’s </w:t>
      </w:r>
      <w:r w:rsidR="00E92AF0" w:rsidRPr="00F61451">
        <w:t>prior OBD auditing</w:t>
      </w:r>
      <w:r w:rsidR="00146C4A" w:rsidRPr="00F61451">
        <w:t xml:space="preserve"> experience</w:t>
      </w:r>
      <w:r w:rsidR="00E92AF0" w:rsidRPr="00F61451">
        <w:t xml:space="preserve"> supported </w:t>
      </w:r>
      <w:r w:rsidR="00146C4A" w:rsidRPr="00F61451">
        <w:t xml:space="preserve">the </w:t>
      </w:r>
      <w:r w:rsidR="00E57672" w:rsidRPr="00F61451">
        <w:t>Massachusetts’</w:t>
      </w:r>
      <w:r w:rsidR="00E92AF0" w:rsidRPr="00F61451">
        <w:t xml:space="preserve"> decision to simplify the OBD RPM audit</w:t>
      </w:r>
      <w:r w:rsidR="00146C4A" w:rsidRPr="00F61451">
        <w:t xml:space="preserve"> (and to deviate from</w:t>
      </w:r>
      <w:r w:rsidR="00E92AF0" w:rsidRPr="00F61451">
        <w:t xml:space="preserve"> </w:t>
      </w:r>
      <w:r w:rsidR="00146C4A" w:rsidRPr="00F61451">
        <w:t>EPA’s</w:t>
      </w:r>
      <w:r w:rsidR="00E92AF0" w:rsidRPr="00F61451">
        <w:t xml:space="preserve"> recommendations</w:t>
      </w:r>
      <w:r w:rsidR="00146C4A" w:rsidRPr="00F61451">
        <w:t xml:space="preserve"> on this point)</w:t>
      </w:r>
      <w:r w:rsidR="00E92AF0" w:rsidRPr="00F61451">
        <w:t xml:space="preserve">.  </w:t>
      </w:r>
      <w:r w:rsidR="00146C4A" w:rsidRPr="00F61451">
        <w:t xml:space="preserve">In </w:t>
      </w:r>
      <w:r w:rsidR="00136FB2" w:rsidRPr="00F61451">
        <w:t xml:space="preserve">auditing </w:t>
      </w:r>
      <w:r w:rsidR="00E92AF0" w:rsidRPr="00F61451">
        <w:t xml:space="preserve">OBD equipment </w:t>
      </w:r>
      <w:r w:rsidR="004F6265" w:rsidRPr="00F61451">
        <w:t>from 2002 through 2008,</w:t>
      </w:r>
      <w:r w:rsidR="00E92AF0" w:rsidRPr="00F61451">
        <w:t xml:space="preserve"> </w:t>
      </w:r>
      <w:r w:rsidR="00136FB2" w:rsidRPr="00F61451">
        <w:t xml:space="preserve">MassDEP found that the RPM reading always exactly matched the standard as long as </w:t>
      </w:r>
      <w:r w:rsidR="00E92AF0" w:rsidRPr="00F61451">
        <w:t xml:space="preserve">the OBD </w:t>
      </w:r>
      <w:r w:rsidR="008826F8" w:rsidRPr="00F61451">
        <w:t>vehicle simulator</w:t>
      </w:r>
      <w:r w:rsidR="00E92AF0" w:rsidRPr="00F61451">
        <w:t xml:space="preserve"> communicated with the</w:t>
      </w:r>
      <w:r w:rsidR="00DE23E9" w:rsidRPr="00F61451">
        <w:t xml:space="preserve"> workstation OBD test equipment.</w:t>
      </w:r>
      <w:r w:rsidR="00E92AF0" w:rsidRPr="00F61451">
        <w:t xml:space="preserve"> </w:t>
      </w:r>
      <w:r w:rsidR="00DD4261" w:rsidRPr="00F61451">
        <w:t xml:space="preserve"> Since 2009 we have found that if </w:t>
      </w:r>
      <w:r w:rsidR="00E45686" w:rsidRPr="00F61451">
        <w:t>an</w:t>
      </w:r>
      <w:r w:rsidR="00DD4261" w:rsidRPr="00F61451">
        <w:t xml:space="preserve"> RPM is reported, it is always correct, confirming that checking multiple RPMs is not an effective use of the field investigators’ time. </w:t>
      </w:r>
    </w:p>
    <w:p w:rsidR="00F2582A" w:rsidRPr="007225C1" w:rsidRDefault="00F2582A" w:rsidP="00DD4261">
      <w:pPr>
        <w:rPr>
          <w:highlight w:val="yellow"/>
        </w:rPr>
      </w:pPr>
    </w:p>
    <w:p w:rsidR="00EC6E17" w:rsidRPr="00F61451" w:rsidRDefault="00813E97">
      <w:r w:rsidRPr="00F61451">
        <w:rPr>
          <w:shd w:val="clear" w:color="auto" w:fill="FFFFFF"/>
        </w:rPr>
        <w:t xml:space="preserve">For the accuracy check, Massachusetts uses custom-built </w:t>
      </w:r>
      <w:r w:rsidR="00002CA0" w:rsidRPr="00F61451">
        <w:rPr>
          <w:shd w:val="clear" w:color="auto" w:fill="FFFFFF"/>
        </w:rPr>
        <w:t xml:space="preserve">OBD </w:t>
      </w:r>
      <w:r w:rsidR="006943CD" w:rsidRPr="00F61451">
        <w:rPr>
          <w:shd w:val="clear" w:color="auto" w:fill="FFFFFF"/>
        </w:rPr>
        <w:t xml:space="preserve">vehicle </w:t>
      </w:r>
      <w:r w:rsidR="00002CA0" w:rsidRPr="00F61451">
        <w:rPr>
          <w:shd w:val="clear" w:color="auto" w:fill="FFFFFF"/>
        </w:rPr>
        <w:t>simulators</w:t>
      </w:r>
      <w:r w:rsidRPr="00F61451">
        <w:rPr>
          <w:shd w:val="clear" w:color="auto" w:fill="FFFFFF"/>
        </w:rPr>
        <w:t xml:space="preserve"> to generate signals for the OBD emissions testing equipment to read.  </w:t>
      </w:r>
      <w:r w:rsidR="00531384" w:rsidRPr="00F61451">
        <w:rPr>
          <w:shd w:val="clear" w:color="auto" w:fill="FFFFFF"/>
        </w:rPr>
        <w:t>There are</w:t>
      </w:r>
      <w:r w:rsidR="00531384" w:rsidRPr="000C236E">
        <w:t xml:space="preserve"> </w:t>
      </w:r>
      <w:r w:rsidR="00E97ADE" w:rsidRPr="000C236E">
        <w:t xml:space="preserve">ten </w:t>
      </w:r>
      <w:r w:rsidR="00531384" w:rsidRPr="000C236E">
        <w:t xml:space="preserve">different </w:t>
      </w:r>
      <w:r w:rsidR="00486DFD" w:rsidRPr="000C236E">
        <w:t>configurations</w:t>
      </w:r>
      <w:r w:rsidR="00531384" w:rsidRPr="000C236E">
        <w:t xml:space="preserve"> for the </w:t>
      </w:r>
      <w:r w:rsidR="008826F8" w:rsidRPr="000C236E">
        <w:t>OBD vehicle simulators,</w:t>
      </w:r>
      <w:r w:rsidR="00531384" w:rsidRPr="000C236E">
        <w:t xml:space="preserve"> covering </w:t>
      </w:r>
      <w:r w:rsidR="00214842" w:rsidRPr="000C236E">
        <w:t>six</w:t>
      </w:r>
      <w:r w:rsidR="00531384" w:rsidRPr="000C236E">
        <w:t xml:space="preserve"> different OBD communication protocols:  CAN (11</w:t>
      </w:r>
      <w:r w:rsidR="00486DFD" w:rsidRPr="000C236E">
        <w:t xml:space="preserve"> </w:t>
      </w:r>
      <w:r w:rsidR="00531384" w:rsidRPr="000C236E">
        <w:t xml:space="preserve">bit), CAN (29 bit), KWP </w:t>
      </w:r>
      <w:r w:rsidR="00486DFD" w:rsidRPr="000C236E">
        <w:t>(ISO 14230-4)</w:t>
      </w:r>
      <w:r w:rsidR="00531384" w:rsidRPr="000C236E">
        <w:t>, ISO</w:t>
      </w:r>
      <w:r w:rsidR="00E6135A" w:rsidRPr="000C236E">
        <w:t xml:space="preserve"> </w:t>
      </w:r>
      <w:r w:rsidR="00486DFD" w:rsidRPr="007C3DC8">
        <w:rPr>
          <w:shd w:val="clear" w:color="auto" w:fill="FFFFFF"/>
        </w:rPr>
        <w:t>(ISO9141), VPW and PWM.</w:t>
      </w:r>
      <w:r w:rsidR="00531384" w:rsidRPr="00F61451">
        <w:rPr>
          <w:shd w:val="clear" w:color="auto" w:fill="FFFFFF"/>
        </w:rPr>
        <w:t xml:space="preserve"> </w:t>
      </w:r>
      <w:r w:rsidR="00486DFD" w:rsidRPr="00F61451">
        <w:rPr>
          <w:shd w:val="clear" w:color="auto" w:fill="FFFFFF"/>
        </w:rPr>
        <w:t xml:space="preserve"> </w:t>
      </w:r>
      <w:r w:rsidR="003017AD" w:rsidRPr="00F61451">
        <w:rPr>
          <w:shd w:val="clear" w:color="auto" w:fill="FFFFFF"/>
        </w:rPr>
        <w:t xml:space="preserve">The items </w:t>
      </w:r>
      <w:r w:rsidR="00146C4A" w:rsidRPr="00F61451">
        <w:rPr>
          <w:shd w:val="clear" w:color="auto" w:fill="FFFFFF"/>
        </w:rPr>
        <w:t xml:space="preserve">listed </w:t>
      </w:r>
      <w:r w:rsidR="003017AD" w:rsidRPr="00F61451">
        <w:rPr>
          <w:shd w:val="clear" w:color="auto" w:fill="FFFFFF"/>
        </w:rPr>
        <w:t>in</w:t>
      </w:r>
      <w:r w:rsidR="003017AD" w:rsidRPr="00F61451">
        <w:t xml:space="preserve"> Table 2 </w:t>
      </w:r>
      <w:r w:rsidR="00743D40" w:rsidRPr="00F61451">
        <w:t xml:space="preserve">are included in the OBD </w:t>
      </w:r>
      <w:r w:rsidR="009A7446" w:rsidRPr="00F61451">
        <w:t xml:space="preserve">test </w:t>
      </w:r>
      <w:r w:rsidR="00743D40" w:rsidRPr="00F61451">
        <w:t xml:space="preserve">equipment audit accuracy check.  </w:t>
      </w:r>
    </w:p>
    <w:p w:rsidR="00007962" w:rsidRPr="007225C1" w:rsidRDefault="00007962" w:rsidP="003049A5">
      <w:pPr>
        <w:pStyle w:val="BodyText"/>
        <w:shd w:val="clear" w:color="auto" w:fill="FFFFFF"/>
        <w:rPr>
          <w:highlight w:val="yellow"/>
          <w:u w:val="none"/>
        </w:rPr>
      </w:pPr>
    </w:p>
    <w:p w:rsidR="00007962" w:rsidRPr="00F61451" w:rsidRDefault="00007962" w:rsidP="00813E97">
      <w:pPr>
        <w:pStyle w:val="Heading7"/>
        <w:keepLines/>
        <w:rPr>
          <w:rFonts w:ascii="Times New Roman" w:hAnsi="Times New Roman"/>
        </w:rPr>
      </w:pPr>
      <w:r w:rsidRPr="00F61451">
        <w:rPr>
          <w:rFonts w:ascii="Times New Roman" w:hAnsi="Times New Roman"/>
        </w:rPr>
        <w:t>Table 2: Items Included</w:t>
      </w:r>
      <w:r w:rsidR="00743D40" w:rsidRPr="00F61451">
        <w:rPr>
          <w:rFonts w:ascii="Times New Roman" w:hAnsi="Times New Roman"/>
        </w:rPr>
        <w:t xml:space="preserve"> in the </w:t>
      </w:r>
      <w:r w:rsidRPr="00F61451">
        <w:rPr>
          <w:rFonts w:ascii="Times New Roman" w:hAnsi="Times New Roman"/>
        </w:rPr>
        <w:t>Accuracy Check</w:t>
      </w:r>
    </w:p>
    <w:p w:rsidR="007F08B9" w:rsidRPr="00F61451" w:rsidRDefault="007F08B9" w:rsidP="00813E97">
      <w:pPr>
        <w:keepNext/>
        <w:keepLines/>
        <w:shd w:val="clear" w:color="auto" w:fill="FFFFFF"/>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620"/>
      </w:tblGrid>
      <w:tr w:rsidR="003049A5" w:rsidRPr="00F61451" w:rsidTr="009A64A9">
        <w:trPr>
          <w:tblHeader/>
        </w:trPr>
        <w:tc>
          <w:tcPr>
            <w:tcW w:w="6660" w:type="dxa"/>
            <w:vAlign w:val="bottom"/>
          </w:tcPr>
          <w:p w:rsidR="003049A5" w:rsidRPr="00F61451" w:rsidRDefault="007F08B9" w:rsidP="00813E97">
            <w:pPr>
              <w:pStyle w:val="BodyText"/>
              <w:keepNext/>
              <w:keepLines/>
              <w:shd w:val="clear" w:color="auto" w:fill="FFFFFF"/>
              <w:rPr>
                <w:b/>
                <w:u w:val="none"/>
              </w:rPr>
            </w:pPr>
            <w:r w:rsidRPr="00F61451">
              <w:rPr>
                <w:b/>
                <w:u w:val="none"/>
              </w:rPr>
              <w:t>Item</w:t>
            </w:r>
          </w:p>
        </w:tc>
        <w:tc>
          <w:tcPr>
            <w:tcW w:w="1620" w:type="dxa"/>
            <w:vAlign w:val="bottom"/>
          </w:tcPr>
          <w:p w:rsidR="003049A5" w:rsidRPr="00F61451" w:rsidRDefault="00B01E18" w:rsidP="00813E97">
            <w:pPr>
              <w:pStyle w:val="BodyText"/>
              <w:keepNext/>
              <w:keepLines/>
              <w:shd w:val="clear" w:color="auto" w:fill="FFFFFF"/>
              <w:rPr>
                <w:b/>
                <w:u w:val="none"/>
              </w:rPr>
            </w:pPr>
            <w:r w:rsidRPr="00F61451">
              <w:rPr>
                <w:b/>
                <w:u w:val="none"/>
              </w:rPr>
              <w:t>Included in</w:t>
            </w:r>
            <w:r w:rsidR="0074391D" w:rsidRPr="00F61451">
              <w:rPr>
                <w:b/>
                <w:u w:val="none"/>
              </w:rPr>
              <w:t xml:space="preserve"> EPA’s</w:t>
            </w:r>
            <w:r w:rsidR="003049A5" w:rsidRPr="00F61451">
              <w:rPr>
                <w:b/>
                <w:u w:val="none"/>
              </w:rPr>
              <w:t xml:space="preserve"> Audit Guidance?</w:t>
            </w:r>
          </w:p>
        </w:tc>
      </w:tr>
      <w:tr w:rsidR="003049A5" w:rsidRPr="00F61451" w:rsidTr="00E849E4">
        <w:tc>
          <w:tcPr>
            <w:tcW w:w="6660" w:type="dxa"/>
          </w:tcPr>
          <w:p w:rsidR="003049A5" w:rsidRPr="00F61451" w:rsidRDefault="007F08B9" w:rsidP="00813E97">
            <w:pPr>
              <w:pStyle w:val="BodyText"/>
              <w:keepNext/>
              <w:keepLines/>
              <w:shd w:val="clear" w:color="auto" w:fill="FFFFFF"/>
              <w:tabs>
                <w:tab w:val="left" w:pos="432"/>
              </w:tabs>
              <w:rPr>
                <w:u w:val="none"/>
              </w:rPr>
            </w:pPr>
            <w:r w:rsidRPr="00F61451">
              <w:rPr>
                <w:u w:val="none"/>
              </w:rPr>
              <w:t>OBDII RPM</w:t>
            </w:r>
          </w:p>
        </w:tc>
        <w:tc>
          <w:tcPr>
            <w:tcW w:w="1620" w:type="dxa"/>
          </w:tcPr>
          <w:p w:rsidR="003049A5" w:rsidRPr="00F61451" w:rsidRDefault="003049A5" w:rsidP="00813E97">
            <w:pPr>
              <w:pStyle w:val="BodyText"/>
              <w:keepNext/>
              <w:keepLines/>
              <w:shd w:val="clear" w:color="auto" w:fill="FFFFFF"/>
              <w:jc w:val="center"/>
              <w:rPr>
                <w:b/>
                <w:u w:val="none"/>
              </w:rPr>
            </w:pPr>
            <w:r w:rsidRPr="00F61451">
              <w:rPr>
                <w:b/>
                <w:u w:val="none"/>
              </w:rPr>
              <w:t>√</w:t>
            </w:r>
          </w:p>
        </w:tc>
      </w:tr>
      <w:tr w:rsidR="003049A5" w:rsidRPr="00F61451" w:rsidTr="00E849E4">
        <w:tc>
          <w:tcPr>
            <w:tcW w:w="6660" w:type="dxa"/>
          </w:tcPr>
          <w:p w:rsidR="003049A5" w:rsidRPr="00F61451" w:rsidRDefault="003049A5" w:rsidP="00813E97">
            <w:pPr>
              <w:pStyle w:val="BodyText"/>
              <w:keepNext/>
              <w:keepLines/>
              <w:shd w:val="clear" w:color="auto" w:fill="FFFFFF"/>
              <w:tabs>
                <w:tab w:val="left" w:pos="432"/>
              </w:tabs>
              <w:rPr>
                <w:u w:val="none"/>
              </w:rPr>
            </w:pPr>
            <w:r w:rsidRPr="00F61451">
              <w:rPr>
                <w:u w:val="none"/>
              </w:rPr>
              <w:t>MIL status</w:t>
            </w:r>
          </w:p>
        </w:tc>
        <w:tc>
          <w:tcPr>
            <w:tcW w:w="1620" w:type="dxa"/>
          </w:tcPr>
          <w:p w:rsidR="003049A5" w:rsidRPr="00F61451" w:rsidRDefault="003049A5" w:rsidP="00813E97">
            <w:pPr>
              <w:pStyle w:val="BodyText"/>
              <w:keepNext/>
              <w:keepLines/>
              <w:shd w:val="clear" w:color="auto" w:fill="FFFFFF"/>
              <w:jc w:val="center"/>
              <w:rPr>
                <w:b/>
                <w:u w:val="none"/>
              </w:rPr>
            </w:pPr>
            <w:r w:rsidRPr="00F61451">
              <w:rPr>
                <w:b/>
                <w:u w:val="none"/>
              </w:rPr>
              <w:t>√</w:t>
            </w:r>
          </w:p>
        </w:tc>
      </w:tr>
      <w:tr w:rsidR="003049A5" w:rsidRPr="00F61451" w:rsidTr="00E849E4">
        <w:tc>
          <w:tcPr>
            <w:tcW w:w="6660" w:type="dxa"/>
          </w:tcPr>
          <w:p w:rsidR="003049A5" w:rsidRPr="00F61451" w:rsidRDefault="003049A5" w:rsidP="00813E97">
            <w:pPr>
              <w:pStyle w:val="BodyText"/>
              <w:keepNext/>
              <w:keepLines/>
              <w:shd w:val="clear" w:color="auto" w:fill="FFFFFF"/>
              <w:tabs>
                <w:tab w:val="left" w:pos="432"/>
              </w:tabs>
              <w:rPr>
                <w:u w:val="none"/>
              </w:rPr>
            </w:pPr>
            <w:r w:rsidRPr="00F61451">
              <w:rPr>
                <w:u w:val="none"/>
              </w:rPr>
              <w:t>Misfire monitor status</w:t>
            </w:r>
          </w:p>
        </w:tc>
        <w:tc>
          <w:tcPr>
            <w:tcW w:w="1620" w:type="dxa"/>
          </w:tcPr>
          <w:p w:rsidR="003049A5" w:rsidRPr="00F61451" w:rsidRDefault="003049A5" w:rsidP="00813E97">
            <w:pPr>
              <w:pStyle w:val="BodyText"/>
              <w:keepNext/>
              <w:keepLines/>
              <w:shd w:val="clear" w:color="auto" w:fill="FFFFFF"/>
              <w:jc w:val="center"/>
              <w:rPr>
                <w:b/>
                <w:u w:val="none"/>
              </w:rPr>
            </w:pPr>
            <w:r w:rsidRPr="00F61451">
              <w:rPr>
                <w:b/>
                <w:u w:val="none"/>
              </w:rPr>
              <w:t>√</w:t>
            </w:r>
          </w:p>
        </w:tc>
      </w:tr>
      <w:tr w:rsidR="003049A5" w:rsidRPr="00F61451" w:rsidTr="00E849E4">
        <w:tc>
          <w:tcPr>
            <w:tcW w:w="6660" w:type="dxa"/>
          </w:tcPr>
          <w:p w:rsidR="003049A5" w:rsidRPr="00F61451" w:rsidRDefault="003049A5" w:rsidP="003F5E9A">
            <w:pPr>
              <w:keepNext/>
              <w:keepLines/>
              <w:shd w:val="clear" w:color="auto" w:fill="FFFFFF"/>
              <w:tabs>
                <w:tab w:val="left" w:pos="432"/>
              </w:tabs>
            </w:pPr>
            <w:r w:rsidRPr="00F61451">
              <w:t xml:space="preserve">Fuel System monitor status </w:t>
            </w:r>
          </w:p>
        </w:tc>
        <w:tc>
          <w:tcPr>
            <w:tcW w:w="1620" w:type="dxa"/>
          </w:tcPr>
          <w:p w:rsidR="003049A5" w:rsidRPr="00F61451" w:rsidRDefault="003049A5" w:rsidP="00813E97">
            <w:pPr>
              <w:keepNext/>
              <w:keepLines/>
              <w:shd w:val="clear" w:color="auto" w:fill="FFFFFF"/>
              <w:jc w:val="center"/>
            </w:pPr>
            <w:r w:rsidRPr="00F61451">
              <w:rPr>
                <w:b/>
              </w:rPr>
              <w:t>√</w:t>
            </w:r>
          </w:p>
        </w:tc>
      </w:tr>
      <w:tr w:rsidR="003049A5" w:rsidRPr="00F61451" w:rsidTr="00E849E4">
        <w:tc>
          <w:tcPr>
            <w:tcW w:w="6660" w:type="dxa"/>
          </w:tcPr>
          <w:p w:rsidR="003049A5" w:rsidRPr="00F61451" w:rsidRDefault="00135295" w:rsidP="003F5E9A">
            <w:pPr>
              <w:keepNext/>
              <w:keepLines/>
              <w:shd w:val="clear" w:color="auto" w:fill="FFFFFF"/>
              <w:tabs>
                <w:tab w:val="left" w:pos="432"/>
              </w:tabs>
            </w:pPr>
            <w:r w:rsidRPr="00F61451">
              <w:t xml:space="preserve">Comprehensive </w:t>
            </w:r>
            <w:r w:rsidR="003049A5" w:rsidRPr="00F61451">
              <w:t>Component</w:t>
            </w:r>
            <w:r w:rsidRPr="00F61451">
              <w:t>s</w:t>
            </w:r>
            <w:r w:rsidR="003049A5" w:rsidRPr="00F61451">
              <w:t xml:space="preserve"> monitor status </w:t>
            </w:r>
          </w:p>
        </w:tc>
        <w:tc>
          <w:tcPr>
            <w:tcW w:w="1620" w:type="dxa"/>
          </w:tcPr>
          <w:p w:rsidR="003049A5" w:rsidRPr="00F61451" w:rsidRDefault="003049A5" w:rsidP="00813E97">
            <w:pPr>
              <w:keepNext/>
              <w:keepLines/>
              <w:shd w:val="clear" w:color="auto" w:fill="FFFFFF"/>
              <w:jc w:val="center"/>
            </w:pPr>
            <w:r w:rsidRPr="00F61451">
              <w:rPr>
                <w:b/>
              </w:rPr>
              <w:t>√</w:t>
            </w:r>
          </w:p>
        </w:tc>
      </w:tr>
      <w:tr w:rsidR="003049A5" w:rsidRPr="00F61451" w:rsidTr="00E849E4">
        <w:tc>
          <w:tcPr>
            <w:tcW w:w="6660" w:type="dxa"/>
          </w:tcPr>
          <w:p w:rsidR="003049A5" w:rsidRPr="00F61451" w:rsidRDefault="003049A5" w:rsidP="00813E97">
            <w:pPr>
              <w:keepNext/>
              <w:keepLines/>
              <w:shd w:val="clear" w:color="auto" w:fill="FFFFFF"/>
              <w:tabs>
                <w:tab w:val="left" w:pos="432"/>
              </w:tabs>
            </w:pPr>
            <w:r w:rsidRPr="00F61451">
              <w:t>Catalyst monitor status</w:t>
            </w:r>
          </w:p>
        </w:tc>
        <w:tc>
          <w:tcPr>
            <w:tcW w:w="1620" w:type="dxa"/>
          </w:tcPr>
          <w:p w:rsidR="003049A5" w:rsidRPr="00F61451" w:rsidRDefault="003049A5" w:rsidP="00813E97">
            <w:pPr>
              <w:keepNext/>
              <w:keepLines/>
              <w:shd w:val="clear" w:color="auto" w:fill="FFFFFF"/>
              <w:jc w:val="center"/>
            </w:pPr>
            <w:r w:rsidRPr="00F61451">
              <w:rPr>
                <w:b/>
              </w:rPr>
              <w:t>√</w:t>
            </w:r>
          </w:p>
        </w:tc>
      </w:tr>
      <w:tr w:rsidR="003049A5" w:rsidRPr="00F61451" w:rsidTr="00E849E4">
        <w:tc>
          <w:tcPr>
            <w:tcW w:w="6660" w:type="dxa"/>
          </w:tcPr>
          <w:p w:rsidR="003049A5" w:rsidRPr="00F61451" w:rsidRDefault="003049A5" w:rsidP="00813E97">
            <w:pPr>
              <w:keepNext/>
              <w:keepLines/>
              <w:shd w:val="clear" w:color="auto" w:fill="FFFFFF"/>
              <w:tabs>
                <w:tab w:val="left" w:pos="432"/>
              </w:tabs>
            </w:pPr>
            <w:r w:rsidRPr="00F61451">
              <w:t>Heated Catalyst monitor status</w:t>
            </w:r>
          </w:p>
        </w:tc>
        <w:tc>
          <w:tcPr>
            <w:tcW w:w="1620" w:type="dxa"/>
          </w:tcPr>
          <w:p w:rsidR="003049A5" w:rsidRPr="00F61451" w:rsidRDefault="003049A5" w:rsidP="00813E97">
            <w:pPr>
              <w:keepNext/>
              <w:keepLines/>
              <w:shd w:val="clear" w:color="auto" w:fill="FFFFFF"/>
              <w:jc w:val="center"/>
            </w:pPr>
            <w:r w:rsidRPr="00F61451">
              <w:rPr>
                <w:b/>
              </w:rPr>
              <w:t>√</w:t>
            </w:r>
          </w:p>
        </w:tc>
      </w:tr>
      <w:tr w:rsidR="003049A5" w:rsidRPr="00F61451" w:rsidTr="00E849E4">
        <w:tc>
          <w:tcPr>
            <w:tcW w:w="6660" w:type="dxa"/>
          </w:tcPr>
          <w:p w:rsidR="003049A5" w:rsidRPr="00F61451" w:rsidRDefault="003049A5" w:rsidP="00813E97">
            <w:pPr>
              <w:keepNext/>
              <w:keepLines/>
              <w:shd w:val="clear" w:color="auto" w:fill="FFFFFF"/>
              <w:tabs>
                <w:tab w:val="left" w:pos="432"/>
              </w:tabs>
            </w:pPr>
            <w:r w:rsidRPr="00F61451">
              <w:t>Evaporative System monitor status</w:t>
            </w:r>
          </w:p>
        </w:tc>
        <w:tc>
          <w:tcPr>
            <w:tcW w:w="1620" w:type="dxa"/>
          </w:tcPr>
          <w:p w:rsidR="003049A5" w:rsidRPr="00F61451" w:rsidRDefault="003049A5" w:rsidP="00813E97">
            <w:pPr>
              <w:keepNext/>
              <w:keepLines/>
              <w:shd w:val="clear" w:color="auto" w:fill="FFFFFF"/>
              <w:jc w:val="center"/>
            </w:pPr>
            <w:r w:rsidRPr="00F61451">
              <w:rPr>
                <w:b/>
              </w:rPr>
              <w:t>√</w:t>
            </w:r>
          </w:p>
        </w:tc>
      </w:tr>
      <w:tr w:rsidR="003049A5" w:rsidRPr="00F61451" w:rsidTr="00E849E4">
        <w:tc>
          <w:tcPr>
            <w:tcW w:w="6660" w:type="dxa"/>
          </w:tcPr>
          <w:p w:rsidR="003049A5" w:rsidRPr="00F61451" w:rsidRDefault="003049A5" w:rsidP="003F5E9A">
            <w:pPr>
              <w:keepNext/>
              <w:keepLines/>
              <w:shd w:val="clear" w:color="auto" w:fill="FFFFFF"/>
              <w:tabs>
                <w:tab w:val="left" w:pos="432"/>
              </w:tabs>
            </w:pPr>
            <w:r w:rsidRPr="00F61451">
              <w:t xml:space="preserve">Secondary Air monitor status </w:t>
            </w:r>
          </w:p>
        </w:tc>
        <w:tc>
          <w:tcPr>
            <w:tcW w:w="1620" w:type="dxa"/>
          </w:tcPr>
          <w:p w:rsidR="003049A5" w:rsidRPr="00F61451" w:rsidRDefault="003049A5" w:rsidP="00813E97">
            <w:pPr>
              <w:keepNext/>
              <w:keepLines/>
              <w:shd w:val="clear" w:color="auto" w:fill="FFFFFF"/>
              <w:jc w:val="center"/>
            </w:pPr>
            <w:r w:rsidRPr="00F61451">
              <w:rPr>
                <w:b/>
              </w:rPr>
              <w:t>√</w:t>
            </w:r>
          </w:p>
        </w:tc>
      </w:tr>
      <w:tr w:rsidR="003049A5" w:rsidRPr="00F61451" w:rsidTr="00E849E4">
        <w:tc>
          <w:tcPr>
            <w:tcW w:w="6660" w:type="dxa"/>
          </w:tcPr>
          <w:p w:rsidR="003049A5" w:rsidRPr="00F61451" w:rsidRDefault="003049A5" w:rsidP="00813E97">
            <w:pPr>
              <w:keepNext/>
              <w:keepLines/>
              <w:shd w:val="clear" w:color="auto" w:fill="FFFFFF"/>
              <w:tabs>
                <w:tab w:val="left" w:pos="432"/>
              </w:tabs>
            </w:pPr>
            <w:r w:rsidRPr="00F61451">
              <w:t>A/C System monitor status</w:t>
            </w:r>
          </w:p>
        </w:tc>
        <w:tc>
          <w:tcPr>
            <w:tcW w:w="1620" w:type="dxa"/>
          </w:tcPr>
          <w:p w:rsidR="003049A5" w:rsidRPr="00F61451" w:rsidRDefault="003049A5" w:rsidP="00813E97">
            <w:pPr>
              <w:keepNext/>
              <w:keepLines/>
              <w:shd w:val="clear" w:color="auto" w:fill="FFFFFF"/>
              <w:jc w:val="center"/>
            </w:pPr>
            <w:r w:rsidRPr="00F61451">
              <w:rPr>
                <w:b/>
              </w:rPr>
              <w:t>√</w:t>
            </w:r>
          </w:p>
        </w:tc>
      </w:tr>
      <w:tr w:rsidR="003049A5" w:rsidRPr="00F61451" w:rsidTr="00E849E4">
        <w:tc>
          <w:tcPr>
            <w:tcW w:w="6660" w:type="dxa"/>
          </w:tcPr>
          <w:p w:rsidR="003049A5" w:rsidRPr="00F61451" w:rsidRDefault="003049A5" w:rsidP="00813E97">
            <w:pPr>
              <w:keepNext/>
              <w:keepLines/>
              <w:shd w:val="clear" w:color="auto" w:fill="FFFFFF"/>
              <w:tabs>
                <w:tab w:val="left" w:pos="432"/>
              </w:tabs>
            </w:pPr>
            <w:r w:rsidRPr="00F61451">
              <w:t>O2 Sensor monitor status</w:t>
            </w:r>
          </w:p>
        </w:tc>
        <w:tc>
          <w:tcPr>
            <w:tcW w:w="1620" w:type="dxa"/>
          </w:tcPr>
          <w:p w:rsidR="003049A5" w:rsidRPr="00F61451" w:rsidRDefault="003049A5" w:rsidP="00813E97">
            <w:pPr>
              <w:keepNext/>
              <w:keepLines/>
              <w:shd w:val="clear" w:color="auto" w:fill="FFFFFF"/>
              <w:jc w:val="center"/>
            </w:pPr>
            <w:r w:rsidRPr="00F61451">
              <w:rPr>
                <w:b/>
              </w:rPr>
              <w:t>√</w:t>
            </w:r>
          </w:p>
        </w:tc>
      </w:tr>
      <w:tr w:rsidR="003049A5" w:rsidRPr="00F61451" w:rsidTr="00E849E4">
        <w:tc>
          <w:tcPr>
            <w:tcW w:w="6660" w:type="dxa"/>
          </w:tcPr>
          <w:p w:rsidR="003049A5" w:rsidRPr="00F61451" w:rsidRDefault="003049A5" w:rsidP="00813E97">
            <w:pPr>
              <w:keepNext/>
              <w:keepLines/>
              <w:shd w:val="clear" w:color="auto" w:fill="FFFFFF"/>
              <w:tabs>
                <w:tab w:val="left" w:pos="432"/>
              </w:tabs>
            </w:pPr>
            <w:r w:rsidRPr="00F61451">
              <w:t>O2 Sensor Heater monitor status</w:t>
            </w:r>
          </w:p>
        </w:tc>
        <w:tc>
          <w:tcPr>
            <w:tcW w:w="1620" w:type="dxa"/>
          </w:tcPr>
          <w:p w:rsidR="003049A5" w:rsidRPr="00F61451" w:rsidRDefault="003049A5" w:rsidP="00813E97">
            <w:pPr>
              <w:keepNext/>
              <w:keepLines/>
              <w:shd w:val="clear" w:color="auto" w:fill="FFFFFF"/>
              <w:jc w:val="center"/>
            </w:pPr>
            <w:r w:rsidRPr="00F61451">
              <w:rPr>
                <w:b/>
              </w:rPr>
              <w:t>√</w:t>
            </w:r>
          </w:p>
        </w:tc>
      </w:tr>
      <w:tr w:rsidR="003049A5" w:rsidRPr="00F61451" w:rsidTr="00E849E4">
        <w:tc>
          <w:tcPr>
            <w:tcW w:w="6660" w:type="dxa"/>
          </w:tcPr>
          <w:p w:rsidR="003049A5" w:rsidRPr="00F61451" w:rsidRDefault="003049A5" w:rsidP="00813E97">
            <w:pPr>
              <w:keepNext/>
              <w:keepLines/>
              <w:shd w:val="clear" w:color="auto" w:fill="FFFFFF"/>
              <w:tabs>
                <w:tab w:val="left" w:pos="432"/>
              </w:tabs>
            </w:pPr>
            <w:r w:rsidRPr="00F61451">
              <w:t>EGR monitor status</w:t>
            </w:r>
          </w:p>
        </w:tc>
        <w:tc>
          <w:tcPr>
            <w:tcW w:w="1620" w:type="dxa"/>
          </w:tcPr>
          <w:p w:rsidR="003049A5" w:rsidRPr="00F61451" w:rsidRDefault="003049A5" w:rsidP="00813E97">
            <w:pPr>
              <w:keepNext/>
              <w:keepLines/>
              <w:shd w:val="clear" w:color="auto" w:fill="FFFFFF"/>
              <w:jc w:val="center"/>
            </w:pPr>
            <w:r w:rsidRPr="00F61451">
              <w:rPr>
                <w:b/>
              </w:rPr>
              <w:t>√</w:t>
            </w:r>
          </w:p>
        </w:tc>
      </w:tr>
      <w:tr w:rsidR="003049A5" w:rsidRPr="00F61451" w:rsidTr="00E849E4">
        <w:tc>
          <w:tcPr>
            <w:tcW w:w="6660" w:type="dxa"/>
          </w:tcPr>
          <w:p w:rsidR="003049A5" w:rsidRPr="00F61451" w:rsidRDefault="003049A5" w:rsidP="00813E97">
            <w:pPr>
              <w:pStyle w:val="BodyText"/>
              <w:keepNext/>
              <w:keepLines/>
              <w:shd w:val="clear" w:color="auto" w:fill="FFFFFF"/>
              <w:tabs>
                <w:tab w:val="left" w:pos="432"/>
              </w:tabs>
              <w:rPr>
                <w:u w:val="none"/>
              </w:rPr>
            </w:pPr>
            <w:r w:rsidRPr="00F61451">
              <w:rPr>
                <w:u w:val="none"/>
              </w:rPr>
              <w:t>DTC 1</w:t>
            </w:r>
          </w:p>
        </w:tc>
        <w:tc>
          <w:tcPr>
            <w:tcW w:w="1620" w:type="dxa"/>
          </w:tcPr>
          <w:p w:rsidR="003049A5" w:rsidRPr="00F61451" w:rsidRDefault="003049A5" w:rsidP="00813E97">
            <w:pPr>
              <w:keepNext/>
              <w:keepLines/>
              <w:shd w:val="clear" w:color="auto" w:fill="FFFFFF"/>
              <w:jc w:val="center"/>
            </w:pPr>
            <w:r w:rsidRPr="00F61451">
              <w:rPr>
                <w:b/>
              </w:rPr>
              <w:t>√</w:t>
            </w:r>
          </w:p>
        </w:tc>
      </w:tr>
      <w:tr w:rsidR="003049A5" w:rsidRPr="00F61451" w:rsidTr="00E849E4">
        <w:tc>
          <w:tcPr>
            <w:tcW w:w="6660" w:type="dxa"/>
          </w:tcPr>
          <w:p w:rsidR="003049A5" w:rsidRPr="00F61451" w:rsidRDefault="003049A5" w:rsidP="00813E97">
            <w:pPr>
              <w:keepNext/>
              <w:keepLines/>
              <w:shd w:val="clear" w:color="auto" w:fill="FFFFFF"/>
              <w:tabs>
                <w:tab w:val="left" w:pos="432"/>
              </w:tabs>
            </w:pPr>
            <w:r w:rsidRPr="00F61451">
              <w:t>DTC 2</w:t>
            </w:r>
          </w:p>
        </w:tc>
        <w:tc>
          <w:tcPr>
            <w:tcW w:w="1620" w:type="dxa"/>
          </w:tcPr>
          <w:p w:rsidR="003049A5" w:rsidRPr="00F61451" w:rsidRDefault="003049A5" w:rsidP="00813E97">
            <w:pPr>
              <w:keepNext/>
              <w:keepLines/>
              <w:shd w:val="clear" w:color="auto" w:fill="FFFFFF"/>
              <w:jc w:val="center"/>
            </w:pPr>
            <w:r w:rsidRPr="00F61451">
              <w:rPr>
                <w:b/>
              </w:rPr>
              <w:t>√</w:t>
            </w:r>
          </w:p>
        </w:tc>
      </w:tr>
      <w:tr w:rsidR="003049A5" w:rsidRPr="00F61451" w:rsidTr="00E849E4">
        <w:tc>
          <w:tcPr>
            <w:tcW w:w="6660" w:type="dxa"/>
          </w:tcPr>
          <w:p w:rsidR="003049A5" w:rsidRPr="00F61451" w:rsidRDefault="003049A5" w:rsidP="00813E97">
            <w:pPr>
              <w:keepNext/>
              <w:keepLines/>
              <w:shd w:val="clear" w:color="auto" w:fill="FFFFFF"/>
              <w:tabs>
                <w:tab w:val="left" w:pos="432"/>
              </w:tabs>
            </w:pPr>
            <w:r w:rsidRPr="00F61451">
              <w:t>DTC 3</w:t>
            </w:r>
          </w:p>
        </w:tc>
        <w:tc>
          <w:tcPr>
            <w:tcW w:w="1620" w:type="dxa"/>
          </w:tcPr>
          <w:p w:rsidR="003049A5" w:rsidRPr="00F61451" w:rsidRDefault="003049A5" w:rsidP="00813E97">
            <w:pPr>
              <w:keepNext/>
              <w:keepLines/>
              <w:shd w:val="clear" w:color="auto" w:fill="FFFFFF"/>
              <w:jc w:val="center"/>
            </w:pPr>
            <w:r w:rsidRPr="00F61451">
              <w:rPr>
                <w:b/>
              </w:rPr>
              <w:t>√</w:t>
            </w:r>
          </w:p>
        </w:tc>
      </w:tr>
      <w:tr w:rsidR="003049A5" w:rsidRPr="00F61451" w:rsidTr="00E849E4">
        <w:tc>
          <w:tcPr>
            <w:tcW w:w="6660" w:type="dxa"/>
          </w:tcPr>
          <w:p w:rsidR="003049A5" w:rsidRPr="00F61451" w:rsidRDefault="003049A5" w:rsidP="00813E97">
            <w:pPr>
              <w:keepNext/>
              <w:keepLines/>
              <w:shd w:val="clear" w:color="auto" w:fill="FFFFFF"/>
              <w:tabs>
                <w:tab w:val="left" w:pos="432"/>
              </w:tabs>
            </w:pPr>
            <w:r w:rsidRPr="00F61451">
              <w:t>DTC 4</w:t>
            </w:r>
          </w:p>
        </w:tc>
        <w:tc>
          <w:tcPr>
            <w:tcW w:w="1620" w:type="dxa"/>
          </w:tcPr>
          <w:p w:rsidR="003049A5" w:rsidRPr="00F61451" w:rsidRDefault="003049A5" w:rsidP="00813E97">
            <w:pPr>
              <w:keepNext/>
              <w:keepLines/>
              <w:shd w:val="clear" w:color="auto" w:fill="FFFFFF"/>
              <w:jc w:val="center"/>
            </w:pPr>
            <w:r w:rsidRPr="00F61451">
              <w:rPr>
                <w:b/>
              </w:rPr>
              <w:t>√</w:t>
            </w:r>
          </w:p>
        </w:tc>
      </w:tr>
      <w:tr w:rsidR="003049A5" w:rsidRPr="00F61451" w:rsidTr="00E849E4">
        <w:tc>
          <w:tcPr>
            <w:tcW w:w="6660" w:type="dxa"/>
          </w:tcPr>
          <w:p w:rsidR="003049A5" w:rsidRPr="00F61451" w:rsidRDefault="003049A5" w:rsidP="00813E97">
            <w:pPr>
              <w:keepNext/>
              <w:keepLines/>
              <w:shd w:val="clear" w:color="auto" w:fill="FFFFFF"/>
              <w:tabs>
                <w:tab w:val="left" w:pos="432"/>
              </w:tabs>
            </w:pPr>
            <w:r w:rsidRPr="00F61451">
              <w:t>DTC 5</w:t>
            </w:r>
          </w:p>
        </w:tc>
        <w:tc>
          <w:tcPr>
            <w:tcW w:w="1620" w:type="dxa"/>
          </w:tcPr>
          <w:p w:rsidR="003049A5" w:rsidRPr="00F61451" w:rsidRDefault="003049A5" w:rsidP="00813E97">
            <w:pPr>
              <w:keepNext/>
              <w:keepLines/>
              <w:shd w:val="clear" w:color="auto" w:fill="FFFFFF"/>
              <w:jc w:val="center"/>
            </w:pPr>
            <w:r w:rsidRPr="00F61451">
              <w:rPr>
                <w:b/>
              </w:rPr>
              <w:t>√</w:t>
            </w:r>
          </w:p>
        </w:tc>
      </w:tr>
      <w:tr w:rsidR="003049A5" w:rsidRPr="00F61451" w:rsidTr="00E849E4">
        <w:tc>
          <w:tcPr>
            <w:tcW w:w="6660" w:type="dxa"/>
          </w:tcPr>
          <w:p w:rsidR="003049A5" w:rsidRPr="00F61451" w:rsidRDefault="003049A5" w:rsidP="00813E97">
            <w:pPr>
              <w:keepNext/>
              <w:keepLines/>
              <w:shd w:val="clear" w:color="auto" w:fill="FFFFFF"/>
              <w:tabs>
                <w:tab w:val="left" w:pos="432"/>
              </w:tabs>
            </w:pPr>
            <w:r w:rsidRPr="00F61451">
              <w:t>DTC 6</w:t>
            </w:r>
          </w:p>
        </w:tc>
        <w:tc>
          <w:tcPr>
            <w:tcW w:w="1620" w:type="dxa"/>
          </w:tcPr>
          <w:p w:rsidR="003049A5" w:rsidRPr="00F61451" w:rsidRDefault="003049A5" w:rsidP="00813E97">
            <w:pPr>
              <w:keepNext/>
              <w:keepLines/>
              <w:shd w:val="clear" w:color="auto" w:fill="FFFFFF"/>
              <w:jc w:val="center"/>
            </w:pPr>
            <w:r w:rsidRPr="00F61451">
              <w:rPr>
                <w:b/>
              </w:rPr>
              <w:t>√</w:t>
            </w:r>
          </w:p>
        </w:tc>
      </w:tr>
      <w:tr w:rsidR="003049A5" w:rsidRPr="00F61451" w:rsidTr="00E849E4">
        <w:tc>
          <w:tcPr>
            <w:tcW w:w="6660" w:type="dxa"/>
          </w:tcPr>
          <w:p w:rsidR="003049A5" w:rsidRPr="00F61451" w:rsidRDefault="003049A5" w:rsidP="00813E97">
            <w:pPr>
              <w:keepNext/>
              <w:keepLines/>
              <w:tabs>
                <w:tab w:val="left" w:pos="432"/>
              </w:tabs>
            </w:pPr>
            <w:r w:rsidRPr="00F61451">
              <w:t>Communication Protocol</w:t>
            </w:r>
          </w:p>
        </w:tc>
        <w:tc>
          <w:tcPr>
            <w:tcW w:w="1620" w:type="dxa"/>
          </w:tcPr>
          <w:p w:rsidR="003049A5" w:rsidRPr="00F61451" w:rsidRDefault="003049A5" w:rsidP="00813E97">
            <w:pPr>
              <w:keepNext/>
              <w:keepLines/>
              <w:shd w:val="clear" w:color="auto" w:fill="FFFFFF"/>
              <w:jc w:val="center"/>
              <w:rPr>
                <w:b/>
              </w:rPr>
            </w:pPr>
          </w:p>
        </w:tc>
      </w:tr>
      <w:tr w:rsidR="003049A5" w:rsidRPr="00F61451" w:rsidTr="00E849E4">
        <w:tc>
          <w:tcPr>
            <w:tcW w:w="6660" w:type="dxa"/>
          </w:tcPr>
          <w:p w:rsidR="003049A5" w:rsidRPr="00F61451" w:rsidRDefault="003049A5" w:rsidP="00C86E5C">
            <w:pPr>
              <w:keepLines/>
              <w:widowControl w:val="0"/>
              <w:shd w:val="clear" w:color="auto" w:fill="FFFFFF"/>
              <w:tabs>
                <w:tab w:val="left" w:pos="432"/>
              </w:tabs>
            </w:pPr>
            <w:r w:rsidRPr="00F61451">
              <w:t>PCM ID 1</w:t>
            </w:r>
          </w:p>
        </w:tc>
        <w:tc>
          <w:tcPr>
            <w:tcW w:w="1620" w:type="dxa"/>
          </w:tcPr>
          <w:p w:rsidR="003049A5" w:rsidRPr="00F61451" w:rsidRDefault="003049A5" w:rsidP="00343F7F">
            <w:pPr>
              <w:keepLines/>
              <w:widowControl w:val="0"/>
              <w:shd w:val="clear" w:color="auto" w:fill="FFFFFF"/>
              <w:jc w:val="center"/>
              <w:rPr>
                <w:b/>
              </w:rPr>
            </w:pPr>
          </w:p>
        </w:tc>
      </w:tr>
      <w:tr w:rsidR="00E97ADE" w:rsidRPr="00F61451" w:rsidTr="00E849E4">
        <w:tc>
          <w:tcPr>
            <w:tcW w:w="6660" w:type="dxa"/>
          </w:tcPr>
          <w:p w:rsidR="00E97ADE" w:rsidRPr="00F61451" w:rsidRDefault="00E97ADE" w:rsidP="00C86E5C">
            <w:pPr>
              <w:keepLines/>
              <w:widowControl w:val="0"/>
              <w:tabs>
                <w:tab w:val="left" w:pos="432"/>
              </w:tabs>
            </w:pPr>
            <w:r w:rsidRPr="00F61451">
              <w:t xml:space="preserve">PCM </w:t>
            </w:r>
            <w:r w:rsidR="00C86E5C" w:rsidRPr="00F61451">
              <w:t xml:space="preserve">ID </w:t>
            </w:r>
            <w:r w:rsidRPr="00F61451">
              <w:t>2</w:t>
            </w:r>
            <w:r w:rsidR="007B214F" w:rsidRPr="00F61451">
              <w:rPr>
                <w:rStyle w:val="FootnoteReference"/>
              </w:rPr>
              <w:footnoteReference w:id="2"/>
            </w:r>
          </w:p>
        </w:tc>
        <w:tc>
          <w:tcPr>
            <w:tcW w:w="1620" w:type="dxa"/>
          </w:tcPr>
          <w:p w:rsidR="00E97ADE" w:rsidRPr="00F61451" w:rsidRDefault="00E97ADE" w:rsidP="00343F7F">
            <w:pPr>
              <w:keepLines/>
              <w:widowControl w:val="0"/>
              <w:shd w:val="clear" w:color="auto" w:fill="FFFFFF"/>
              <w:jc w:val="center"/>
              <w:rPr>
                <w:b/>
              </w:rPr>
            </w:pPr>
          </w:p>
        </w:tc>
      </w:tr>
      <w:tr w:rsidR="003049A5" w:rsidRPr="00F61451" w:rsidTr="00E849E4">
        <w:tc>
          <w:tcPr>
            <w:tcW w:w="6660" w:type="dxa"/>
          </w:tcPr>
          <w:p w:rsidR="003049A5" w:rsidRPr="00F61451" w:rsidRDefault="003049A5" w:rsidP="00343F7F">
            <w:pPr>
              <w:keepLines/>
              <w:widowControl w:val="0"/>
              <w:tabs>
                <w:tab w:val="left" w:pos="432"/>
              </w:tabs>
            </w:pPr>
            <w:r w:rsidRPr="00F61451">
              <w:t>PID Count 1</w:t>
            </w:r>
          </w:p>
        </w:tc>
        <w:tc>
          <w:tcPr>
            <w:tcW w:w="1620" w:type="dxa"/>
          </w:tcPr>
          <w:p w:rsidR="003049A5" w:rsidRPr="00F61451" w:rsidRDefault="003049A5" w:rsidP="00343F7F">
            <w:pPr>
              <w:keepLines/>
              <w:widowControl w:val="0"/>
              <w:shd w:val="clear" w:color="auto" w:fill="FFFFFF"/>
              <w:jc w:val="center"/>
              <w:rPr>
                <w:b/>
              </w:rPr>
            </w:pPr>
          </w:p>
        </w:tc>
      </w:tr>
      <w:tr w:rsidR="00E97ADE" w:rsidRPr="00F61451" w:rsidTr="00E849E4">
        <w:tc>
          <w:tcPr>
            <w:tcW w:w="6660" w:type="dxa"/>
          </w:tcPr>
          <w:p w:rsidR="00E97ADE" w:rsidRPr="00F61451" w:rsidRDefault="00E97ADE" w:rsidP="006414E5">
            <w:pPr>
              <w:keepLines/>
              <w:widowControl w:val="0"/>
              <w:tabs>
                <w:tab w:val="left" w:pos="432"/>
              </w:tabs>
            </w:pPr>
            <w:r w:rsidRPr="00F61451">
              <w:t>PID Count 2</w:t>
            </w:r>
            <w:r w:rsidR="007B214F" w:rsidRPr="00F61451">
              <w:rPr>
                <w:rStyle w:val="FootnoteReference"/>
              </w:rPr>
              <w:footnoteReference w:id="3"/>
            </w:r>
          </w:p>
        </w:tc>
        <w:tc>
          <w:tcPr>
            <w:tcW w:w="1620" w:type="dxa"/>
          </w:tcPr>
          <w:p w:rsidR="00E97ADE" w:rsidRPr="00F61451" w:rsidRDefault="00E97ADE" w:rsidP="00343F7F">
            <w:pPr>
              <w:keepLines/>
              <w:widowControl w:val="0"/>
              <w:shd w:val="clear" w:color="auto" w:fill="FFFFFF"/>
              <w:jc w:val="center"/>
              <w:rPr>
                <w:b/>
              </w:rPr>
            </w:pPr>
          </w:p>
        </w:tc>
      </w:tr>
      <w:tr w:rsidR="003049A5" w:rsidRPr="00F61451" w:rsidTr="00E849E4">
        <w:tc>
          <w:tcPr>
            <w:tcW w:w="6660" w:type="dxa"/>
          </w:tcPr>
          <w:p w:rsidR="003049A5" w:rsidRPr="00F61451" w:rsidRDefault="003049A5" w:rsidP="006414E5">
            <w:pPr>
              <w:keepLines/>
              <w:widowControl w:val="0"/>
              <w:tabs>
                <w:tab w:val="left" w:pos="432"/>
              </w:tabs>
            </w:pPr>
            <w:r w:rsidRPr="00F61451">
              <w:t xml:space="preserve">PID </w:t>
            </w:r>
            <w:r w:rsidR="00B44DB1" w:rsidRPr="00F61451">
              <w:t>$</w:t>
            </w:r>
            <w:r w:rsidR="006414E5" w:rsidRPr="00F61451">
              <w:t xml:space="preserve">1C </w:t>
            </w:r>
            <w:r w:rsidRPr="00F61451">
              <w:t>Response</w:t>
            </w:r>
          </w:p>
        </w:tc>
        <w:tc>
          <w:tcPr>
            <w:tcW w:w="1620" w:type="dxa"/>
          </w:tcPr>
          <w:p w:rsidR="003049A5" w:rsidRPr="00F61451" w:rsidRDefault="003049A5" w:rsidP="00343F7F">
            <w:pPr>
              <w:keepLines/>
              <w:widowControl w:val="0"/>
              <w:shd w:val="clear" w:color="auto" w:fill="FFFFFF"/>
              <w:jc w:val="center"/>
              <w:rPr>
                <w:b/>
              </w:rPr>
            </w:pPr>
          </w:p>
        </w:tc>
      </w:tr>
      <w:tr w:rsidR="003049A5" w:rsidRPr="00F61451" w:rsidTr="00E849E4">
        <w:tc>
          <w:tcPr>
            <w:tcW w:w="6660" w:type="dxa"/>
          </w:tcPr>
          <w:p w:rsidR="004D7F54" w:rsidRPr="00F61451" w:rsidRDefault="003049A5">
            <w:pPr>
              <w:keepLines/>
              <w:widowControl w:val="0"/>
              <w:tabs>
                <w:tab w:val="left" w:pos="432"/>
              </w:tabs>
            </w:pPr>
            <w:r w:rsidRPr="00F61451">
              <w:t xml:space="preserve">OBD VIN </w:t>
            </w:r>
          </w:p>
        </w:tc>
        <w:tc>
          <w:tcPr>
            <w:tcW w:w="1620" w:type="dxa"/>
          </w:tcPr>
          <w:p w:rsidR="003049A5" w:rsidRPr="00F61451" w:rsidRDefault="003049A5" w:rsidP="00343F7F">
            <w:pPr>
              <w:keepLines/>
              <w:widowControl w:val="0"/>
              <w:shd w:val="clear" w:color="auto" w:fill="FFFFFF"/>
              <w:jc w:val="center"/>
              <w:rPr>
                <w:b/>
              </w:rPr>
            </w:pPr>
          </w:p>
        </w:tc>
      </w:tr>
    </w:tbl>
    <w:p w:rsidR="003049A5" w:rsidRPr="00F61451" w:rsidRDefault="003049A5" w:rsidP="00343F7F">
      <w:pPr>
        <w:keepLines/>
        <w:widowControl w:val="0"/>
        <w:shd w:val="clear" w:color="auto" w:fill="FFFFFF"/>
      </w:pPr>
    </w:p>
    <w:p w:rsidR="000C2903" w:rsidRPr="00F61451" w:rsidRDefault="000C2903" w:rsidP="00343F7F">
      <w:pPr>
        <w:keepLines/>
        <w:widowControl w:val="0"/>
        <w:shd w:val="clear" w:color="auto" w:fill="FFFFFF"/>
      </w:pPr>
    </w:p>
    <w:p w:rsidR="008F4DF6" w:rsidRPr="00F61451" w:rsidRDefault="008F4DF6" w:rsidP="005711D3">
      <w:pPr>
        <w:pStyle w:val="Heading1"/>
      </w:pPr>
      <w:bookmarkStart w:id="16" w:name="_Toc329697889"/>
      <w:r w:rsidRPr="00F61451">
        <w:lastRenderedPageBreak/>
        <w:t>Workstation</w:t>
      </w:r>
      <w:r w:rsidR="00214842" w:rsidRPr="00F61451">
        <w:t xml:space="preserve"> Selection </w:t>
      </w:r>
      <w:r w:rsidRPr="00F61451">
        <w:t xml:space="preserve">for </w:t>
      </w:r>
      <w:r w:rsidR="006F23EA" w:rsidRPr="00F61451">
        <w:t xml:space="preserve">OBD Equipment </w:t>
      </w:r>
      <w:r w:rsidRPr="00F61451">
        <w:t>Audits</w:t>
      </w:r>
      <w:bookmarkEnd w:id="16"/>
    </w:p>
    <w:p w:rsidR="008F4DF6" w:rsidRPr="00F61451" w:rsidRDefault="008F4DF6" w:rsidP="00343F7F">
      <w:pPr>
        <w:pStyle w:val="BodyText"/>
        <w:keepNext/>
        <w:keepLines/>
        <w:widowControl w:val="0"/>
        <w:rPr>
          <w:u w:val="none"/>
        </w:rPr>
      </w:pPr>
    </w:p>
    <w:p w:rsidR="00C2704F" w:rsidRPr="00F61451" w:rsidRDefault="004C0C25" w:rsidP="00343F7F">
      <w:pPr>
        <w:pStyle w:val="BodyText"/>
        <w:keepNext/>
        <w:keepLines/>
        <w:widowControl w:val="0"/>
        <w:rPr>
          <w:u w:val="none"/>
        </w:rPr>
      </w:pPr>
      <w:r w:rsidRPr="00F61451">
        <w:rPr>
          <w:u w:val="none"/>
        </w:rPr>
        <w:t xml:space="preserve">The OBD equipment audits are conducted as one component of </w:t>
      </w:r>
      <w:r w:rsidR="00002CA0" w:rsidRPr="00F61451">
        <w:rPr>
          <w:u w:val="none"/>
        </w:rPr>
        <w:t xml:space="preserve">routine </w:t>
      </w:r>
      <w:r w:rsidR="00D137CC" w:rsidRPr="00F61451">
        <w:rPr>
          <w:u w:val="none"/>
        </w:rPr>
        <w:t>station site</w:t>
      </w:r>
      <w:r w:rsidR="00BD220D" w:rsidRPr="00F61451">
        <w:rPr>
          <w:u w:val="none"/>
        </w:rPr>
        <w:t xml:space="preserve"> visits</w:t>
      </w:r>
      <w:r w:rsidRPr="00F61451">
        <w:rPr>
          <w:u w:val="none"/>
        </w:rPr>
        <w:t xml:space="preserve"> </w:t>
      </w:r>
      <w:r w:rsidR="0009447C" w:rsidRPr="00F61451">
        <w:rPr>
          <w:u w:val="none"/>
        </w:rPr>
        <w:t xml:space="preserve">performed </w:t>
      </w:r>
      <w:r w:rsidRPr="00F61451">
        <w:rPr>
          <w:u w:val="none"/>
        </w:rPr>
        <w:t xml:space="preserve">by RMV field investigators.  </w:t>
      </w:r>
      <w:r w:rsidR="00BD220D" w:rsidRPr="00F61451">
        <w:rPr>
          <w:u w:val="none"/>
        </w:rPr>
        <w:t xml:space="preserve">Workstations </w:t>
      </w:r>
      <w:r w:rsidRPr="00F61451">
        <w:rPr>
          <w:u w:val="none"/>
        </w:rPr>
        <w:t xml:space="preserve">are not selected </w:t>
      </w:r>
      <w:r w:rsidR="00BD220D" w:rsidRPr="00F61451">
        <w:rPr>
          <w:u w:val="none"/>
        </w:rPr>
        <w:t xml:space="preserve">to receive OBD audits based on data analysis or other information that may indicate the equipment may be broken.  </w:t>
      </w:r>
      <w:r w:rsidR="00912944" w:rsidRPr="00F61451">
        <w:rPr>
          <w:u w:val="none"/>
        </w:rPr>
        <w:t>However, t</w:t>
      </w:r>
      <w:r w:rsidR="00BD220D" w:rsidRPr="00F61451">
        <w:rPr>
          <w:u w:val="none"/>
        </w:rPr>
        <w:t xml:space="preserve">he workstations may be selected </w:t>
      </w:r>
      <w:r w:rsidR="00912944" w:rsidRPr="00F61451">
        <w:rPr>
          <w:u w:val="none"/>
        </w:rPr>
        <w:t xml:space="preserve">for an audit </w:t>
      </w:r>
      <w:r w:rsidR="00BD220D" w:rsidRPr="00F61451">
        <w:rPr>
          <w:u w:val="none"/>
        </w:rPr>
        <w:t xml:space="preserve">based on consumer complaints or data analysis that indicates the inspector(s) may be conducting improper inspections. </w:t>
      </w:r>
      <w:r w:rsidR="00A62468" w:rsidRPr="00F61451">
        <w:rPr>
          <w:u w:val="none"/>
        </w:rPr>
        <w:t xml:space="preserve"> </w:t>
      </w:r>
      <w:r w:rsidR="00BD220D" w:rsidRPr="00F61451">
        <w:rPr>
          <w:u w:val="none"/>
        </w:rPr>
        <w:t xml:space="preserve">Other methods of selecting the workstations to audit may include, but are not limited to, </w:t>
      </w:r>
      <w:r w:rsidR="003F0C6E" w:rsidRPr="00F61451">
        <w:rPr>
          <w:u w:val="none"/>
        </w:rPr>
        <w:t xml:space="preserve">the </w:t>
      </w:r>
      <w:r w:rsidR="00BD220D" w:rsidRPr="00F61451">
        <w:rPr>
          <w:u w:val="none"/>
        </w:rPr>
        <w:t xml:space="preserve">length of time since the last audit, a high volume of inspections and the location of the station </w:t>
      </w:r>
      <w:r w:rsidR="003F0C6E" w:rsidRPr="00F61451">
        <w:rPr>
          <w:u w:val="none"/>
        </w:rPr>
        <w:t>(</w:t>
      </w:r>
      <w:r w:rsidR="00BD220D" w:rsidRPr="00F61451">
        <w:rPr>
          <w:u w:val="none"/>
        </w:rPr>
        <w:t xml:space="preserve">to minimize </w:t>
      </w:r>
      <w:r w:rsidR="003E7304" w:rsidRPr="00F61451">
        <w:rPr>
          <w:u w:val="none"/>
        </w:rPr>
        <w:t>field investigator</w:t>
      </w:r>
      <w:r w:rsidR="00BD220D" w:rsidRPr="00F61451">
        <w:rPr>
          <w:u w:val="none"/>
        </w:rPr>
        <w:t>s</w:t>
      </w:r>
      <w:r w:rsidR="003F0C6E" w:rsidRPr="00F61451">
        <w:rPr>
          <w:u w:val="none"/>
        </w:rPr>
        <w:t>’</w:t>
      </w:r>
      <w:r w:rsidR="00BD220D" w:rsidRPr="00F61451">
        <w:rPr>
          <w:u w:val="none"/>
        </w:rPr>
        <w:t xml:space="preserve"> travel distance</w:t>
      </w:r>
      <w:r w:rsidR="00DA5375" w:rsidRPr="00F61451">
        <w:rPr>
          <w:u w:val="none"/>
        </w:rPr>
        <w:t>)</w:t>
      </w:r>
      <w:r w:rsidR="00BD220D" w:rsidRPr="00F61451">
        <w:rPr>
          <w:u w:val="none"/>
        </w:rPr>
        <w:t>.  Workstations may also be selected for follow-up audits following a previous audit failure.</w:t>
      </w:r>
    </w:p>
    <w:p w:rsidR="00BF1D6C" w:rsidRPr="00F61451" w:rsidRDefault="00BF1D6C" w:rsidP="00343F7F">
      <w:pPr>
        <w:pStyle w:val="BodyText"/>
        <w:keepNext/>
        <w:keepLines/>
        <w:widowControl w:val="0"/>
      </w:pPr>
    </w:p>
    <w:p w:rsidR="007F7648" w:rsidRPr="00F61451" w:rsidRDefault="007F7648" w:rsidP="00343F7F">
      <w:pPr>
        <w:pStyle w:val="BodyText"/>
        <w:keepNext/>
        <w:keepLines/>
        <w:widowControl w:val="0"/>
      </w:pPr>
    </w:p>
    <w:p w:rsidR="004D7F54" w:rsidRPr="00F61451" w:rsidRDefault="00FB3352" w:rsidP="004D7F54">
      <w:pPr>
        <w:pStyle w:val="Heading1"/>
        <w:widowControl/>
      </w:pPr>
      <w:bookmarkStart w:id="17" w:name="_Toc298505943"/>
      <w:bookmarkStart w:id="18" w:name="_Toc298506047"/>
      <w:bookmarkStart w:id="19" w:name="_Toc298506250"/>
      <w:bookmarkStart w:id="20" w:name="_Toc298776932"/>
      <w:bookmarkStart w:id="21" w:name="_Toc329697890"/>
      <w:bookmarkEnd w:id="17"/>
      <w:bookmarkEnd w:id="18"/>
      <w:bookmarkEnd w:id="19"/>
      <w:bookmarkEnd w:id="20"/>
      <w:r w:rsidRPr="00F61451">
        <w:t>OBD</w:t>
      </w:r>
      <w:r w:rsidR="003530B4" w:rsidRPr="00F61451">
        <w:t xml:space="preserve"> Test Equipment </w:t>
      </w:r>
      <w:r w:rsidRPr="00F61451">
        <w:t>Audit</w:t>
      </w:r>
      <w:r w:rsidR="00C96B2B" w:rsidRPr="00F61451">
        <w:t>s</w:t>
      </w:r>
      <w:bookmarkEnd w:id="21"/>
    </w:p>
    <w:p w:rsidR="004D7F54" w:rsidRPr="00F61451" w:rsidRDefault="004D7F54" w:rsidP="004D7F54">
      <w:pPr>
        <w:keepNext/>
        <w:keepLines/>
      </w:pPr>
    </w:p>
    <w:p w:rsidR="004D7F54" w:rsidRPr="00F61451" w:rsidRDefault="00057177" w:rsidP="004D7F54">
      <w:pPr>
        <w:pStyle w:val="PlainText"/>
        <w:keepNext/>
        <w:keepLines/>
        <w:rPr>
          <w:rFonts w:ascii="Times New Roman" w:hAnsi="Times New Roman" w:cs="Times New Roman"/>
        </w:rPr>
      </w:pPr>
      <w:r w:rsidRPr="00F61451">
        <w:rPr>
          <w:rFonts w:ascii="Times New Roman" w:hAnsi="Times New Roman" w:cs="Times New Roman"/>
        </w:rPr>
        <w:fldChar w:fldCharType="begin"/>
      </w:r>
      <w:r w:rsidR="00F163AC" w:rsidRPr="00F61451">
        <w:rPr>
          <w:rFonts w:ascii="Times New Roman" w:hAnsi="Times New Roman" w:cs="Times New Roman"/>
        </w:rPr>
        <w:instrText xml:space="preserve"> TA \l "40 CFR 51.366 (c) (1), (2)</w:instrText>
      </w:r>
      <w:r w:rsidR="00C748D9" w:rsidRPr="00F61451">
        <w:rPr>
          <w:rFonts w:ascii="Times New Roman" w:hAnsi="Times New Roman" w:cs="Times New Roman"/>
        </w:rPr>
        <w:instrText>, (3), (4)</w:instrText>
      </w:r>
      <w:r w:rsidR="00F163AC" w:rsidRPr="00F61451">
        <w:rPr>
          <w:rFonts w:ascii="Times New Roman" w:hAnsi="Times New Roman" w:cs="Times New Roman"/>
        </w:rPr>
        <w:instrText xml:space="preserve">"\c 4 </w:instrText>
      </w:r>
      <w:r w:rsidRPr="00F61451">
        <w:rPr>
          <w:rFonts w:ascii="Times New Roman" w:hAnsi="Times New Roman" w:cs="Times New Roman"/>
        </w:rPr>
        <w:fldChar w:fldCharType="end"/>
      </w:r>
    </w:p>
    <w:p w:rsidR="00DA0B93" w:rsidRPr="00F61451" w:rsidRDefault="00DA0B93">
      <w:pPr>
        <w:pStyle w:val="BodyText"/>
        <w:pBdr>
          <w:top w:val="single" w:sz="4" w:space="1" w:color="auto"/>
          <w:left w:val="single" w:sz="4" w:space="4" w:color="auto"/>
          <w:bottom w:val="single" w:sz="4" w:space="1" w:color="auto"/>
          <w:right w:val="single" w:sz="4" w:space="4" w:color="auto"/>
        </w:pBdr>
        <w:rPr>
          <w:u w:val="none"/>
        </w:rPr>
      </w:pPr>
      <w:r w:rsidRPr="00F61451">
        <w:rPr>
          <w:u w:val="none"/>
        </w:rPr>
        <w:t xml:space="preserve">40 CFR 51.366 (c) Quality control report.  …Basic statistics on the quality control program for January through December of the previous year, including:    </w:t>
      </w:r>
    </w:p>
    <w:p w:rsidR="00DA0B93" w:rsidRPr="00F61451" w:rsidRDefault="00DA0B93">
      <w:pPr>
        <w:pStyle w:val="BodyText"/>
        <w:pBdr>
          <w:top w:val="single" w:sz="4" w:space="1" w:color="auto"/>
          <w:left w:val="single" w:sz="4" w:space="4" w:color="auto"/>
          <w:bottom w:val="single" w:sz="4" w:space="1" w:color="auto"/>
          <w:right w:val="single" w:sz="4" w:space="4" w:color="auto"/>
        </w:pBdr>
        <w:rPr>
          <w:u w:val="none"/>
        </w:rPr>
      </w:pPr>
    </w:p>
    <w:p w:rsidR="00DA0B93" w:rsidRPr="00F61451" w:rsidRDefault="00DA0B93">
      <w:pPr>
        <w:pStyle w:val="BodyText"/>
        <w:pBdr>
          <w:top w:val="single" w:sz="4" w:space="1" w:color="auto"/>
          <w:left w:val="single" w:sz="4" w:space="4" w:color="auto"/>
          <w:bottom w:val="single" w:sz="4" w:space="1" w:color="auto"/>
          <w:right w:val="single" w:sz="4" w:space="4" w:color="auto"/>
        </w:pBdr>
        <w:spacing w:line="360" w:lineRule="auto"/>
        <w:rPr>
          <w:u w:val="none"/>
        </w:rPr>
      </w:pPr>
      <w:r w:rsidRPr="00F61451">
        <w:rPr>
          <w:u w:val="none"/>
        </w:rPr>
        <w:t xml:space="preserve">(1) The number of emission testing sites and lanes in use in the program;    </w:t>
      </w:r>
    </w:p>
    <w:p w:rsidR="00C748D9" w:rsidRPr="00F61451" w:rsidRDefault="00DA0B93" w:rsidP="00C748D9">
      <w:pPr>
        <w:pStyle w:val="BodyText"/>
        <w:keepNext/>
        <w:keepLines/>
        <w:pBdr>
          <w:top w:val="single" w:sz="4" w:space="1" w:color="auto"/>
          <w:left w:val="single" w:sz="4" w:space="4" w:color="auto"/>
          <w:bottom w:val="single" w:sz="4" w:space="1" w:color="auto"/>
          <w:right w:val="single" w:sz="4" w:space="4" w:color="auto"/>
        </w:pBdr>
        <w:spacing w:line="360" w:lineRule="auto"/>
        <w:rPr>
          <w:u w:val="none"/>
        </w:rPr>
      </w:pPr>
      <w:r w:rsidRPr="00F61451">
        <w:rPr>
          <w:u w:val="none"/>
        </w:rPr>
        <w:t xml:space="preserve">(2) The number of equipment audits by station and lane;   . . .  </w:t>
      </w:r>
    </w:p>
    <w:p w:rsidR="00C748D9" w:rsidRPr="00F61451" w:rsidRDefault="00DA0B93" w:rsidP="00C748D9">
      <w:pPr>
        <w:pStyle w:val="BodyText"/>
        <w:keepNext/>
        <w:keepLines/>
        <w:pBdr>
          <w:top w:val="single" w:sz="4" w:space="1" w:color="auto"/>
          <w:left w:val="single" w:sz="4" w:space="4" w:color="auto"/>
          <w:bottom w:val="single" w:sz="4" w:space="1" w:color="auto"/>
          <w:right w:val="single" w:sz="4" w:space="4" w:color="auto"/>
        </w:pBdr>
        <w:spacing w:line="360" w:lineRule="auto"/>
        <w:rPr>
          <w:u w:val="none"/>
        </w:rPr>
      </w:pPr>
      <w:r w:rsidRPr="00F61451">
        <w:rPr>
          <w:u w:val="none"/>
        </w:rPr>
        <w:t xml:space="preserve"> </w:t>
      </w:r>
      <w:r w:rsidR="00C748D9" w:rsidRPr="00F61451">
        <w:rPr>
          <w:u w:val="none"/>
        </w:rPr>
        <w:t xml:space="preserve">(3) The number and percentage of stations that have failed equipment audits; and </w:t>
      </w:r>
    </w:p>
    <w:p w:rsidR="00DA0B93" w:rsidRPr="00F61451" w:rsidRDefault="00C748D9" w:rsidP="00C748D9">
      <w:pPr>
        <w:pStyle w:val="BodyText"/>
        <w:keepNext/>
        <w:keepLines/>
        <w:pBdr>
          <w:top w:val="single" w:sz="4" w:space="1" w:color="auto"/>
          <w:left w:val="single" w:sz="4" w:space="4" w:color="auto"/>
          <w:bottom w:val="single" w:sz="4" w:space="1" w:color="auto"/>
          <w:right w:val="single" w:sz="4" w:space="4" w:color="auto"/>
        </w:pBdr>
        <w:spacing w:line="360" w:lineRule="auto"/>
        <w:rPr>
          <w:u w:val="none"/>
        </w:rPr>
      </w:pPr>
      <w:r w:rsidRPr="00F61451">
        <w:rPr>
          <w:u w:val="none"/>
        </w:rPr>
        <w:t>(4) Number and percentage of stations and lanes shut down as a result of equipment audits.</w:t>
      </w:r>
    </w:p>
    <w:p w:rsidR="00DA0B93" w:rsidRPr="00F61451" w:rsidRDefault="00DA0B93">
      <w:pPr>
        <w:pStyle w:val="BodyText"/>
        <w:shd w:val="clear" w:color="auto" w:fill="FFFFFF"/>
        <w:rPr>
          <w:u w:val="none"/>
        </w:rPr>
      </w:pPr>
    </w:p>
    <w:p w:rsidR="00C748D9" w:rsidRPr="00F61451" w:rsidRDefault="00522461">
      <w:pPr>
        <w:pStyle w:val="BodyText"/>
        <w:shd w:val="clear" w:color="auto" w:fill="FFFFFF"/>
        <w:rPr>
          <w:u w:val="none"/>
        </w:rPr>
      </w:pPr>
      <w:r w:rsidRPr="00F61451">
        <w:rPr>
          <w:u w:val="none"/>
        </w:rPr>
        <w:t>In Massachusetts</w:t>
      </w:r>
      <w:r w:rsidR="00F2582A" w:rsidRPr="00F61451">
        <w:rPr>
          <w:u w:val="none"/>
        </w:rPr>
        <w:t>’ decentralized program</w:t>
      </w:r>
      <w:r w:rsidRPr="00F61451">
        <w:rPr>
          <w:u w:val="none"/>
        </w:rPr>
        <w:t>, the number of workstations is equivalent to the number of lanes in a centralized testing program.  Most Massachusetts stations have only one workstation.</w:t>
      </w:r>
    </w:p>
    <w:p w:rsidR="00522461" w:rsidRPr="007225C1" w:rsidRDefault="00522461">
      <w:pPr>
        <w:pStyle w:val="BodyText"/>
        <w:shd w:val="clear" w:color="auto" w:fill="FFFFFF"/>
        <w:rPr>
          <w:b/>
          <w:highlight w:val="yellow"/>
          <w:u w:val="none"/>
        </w:rPr>
      </w:pPr>
    </w:p>
    <w:p w:rsidR="004D7F54" w:rsidRPr="00BE3E5C" w:rsidRDefault="0064363A" w:rsidP="004D7F54">
      <w:r w:rsidRPr="00BE3E5C">
        <w:t xml:space="preserve">In </w:t>
      </w:r>
      <w:r w:rsidR="00031D75" w:rsidRPr="00BE3E5C">
        <w:t>201</w:t>
      </w:r>
      <w:r w:rsidR="00031D75">
        <w:t>6</w:t>
      </w:r>
      <w:r w:rsidR="009447EF" w:rsidRPr="00BE3E5C">
        <w:t xml:space="preserve">, </w:t>
      </w:r>
      <w:r w:rsidR="00031D75" w:rsidRPr="00A42716">
        <w:t>1,623</w:t>
      </w:r>
      <w:r w:rsidR="00CA6E51" w:rsidRPr="00BE3E5C">
        <w:t xml:space="preserve"> stations and </w:t>
      </w:r>
      <w:r w:rsidR="00A42716">
        <w:t>1,677</w:t>
      </w:r>
      <w:r w:rsidR="00CA6E51" w:rsidRPr="00BE3E5C">
        <w:t xml:space="preserve"> workstations (lanes) conducted emissions inspections </w:t>
      </w:r>
      <w:r w:rsidR="00111CAD">
        <w:t xml:space="preserve">(OBD and/or diesel opacity) </w:t>
      </w:r>
      <w:r w:rsidR="00CA6E51" w:rsidRPr="00BE3E5C">
        <w:t>throughout the period</w:t>
      </w:r>
      <w:r w:rsidR="0074391D" w:rsidRPr="00BE3E5C">
        <w:t>.</w:t>
      </w:r>
      <w:r w:rsidR="00E85D52" w:rsidRPr="00BE3E5C">
        <w:t xml:space="preserve"> </w:t>
      </w:r>
      <w:r w:rsidR="000E5733" w:rsidRPr="00BE3E5C">
        <w:t xml:space="preserve"> A station or workstation must have conducted at least one emissions inspection in each month in </w:t>
      </w:r>
      <w:r w:rsidR="00031D75" w:rsidRPr="00BE3E5C">
        <w:t>201</w:t>
      </w:r>
      <w:r w:rsidR="00031D75">
        <w:t>6</w:t>
      </w:r>
      <w:r w:rsidR="00031D75" w:rsidRPr="00BE3E5C">
        <w:t xml:space="preserve"> </w:t>
      </w:r>
      <w:r w:rsidR="000E5733" w:rsidRPr="00BE3E5C">
        <w:t>to be counted as “testing throughout the period</w:t>
      </w:r>
      <w:r w:rsidR="002516FE" w:rsidRPr="00BE3E5C">
        <w:t>.</w:t>
      </w:r>
      <w:r w:rsidR="000E5733" w:rsidRPr="00BE3E5C">
        <w:t xml:space="preserve">” </w:t>
      </w:r>
      <w:r w:rsidR="00CA6E51" w:rsidRPr="00BE3E5C">
        <w:t xml:space="preserve"> </w:t>
      </w:r>
      <w:r w:rsidR="00CA6E51" w:rsidRPr="005A4347">
        <w:t xml:space="preserve">A total of </w:t>
      </w:r>
      <w:r w:rsidR="00B34519">
        <w:t>1,801</w:t>
      </w:r>
      <w:r w:rsidR="00031D75" w:rsidRPr="00BE3E5C">
        <w:t xml:space="preserve"> </w:t>
      </w:r>
      <w:r w:rsidR="00CA6E51" w:rsidRPr="005A4347">
        <w:t xml:space="preserve">stations and </w:t>
      </w:r>
      <w:r w:rsidR="00B34519">
        <w:t>1,846</w:t>
      </w:r>
      <w:r w:rsidR="00031D75" w:rsidRPr="00BE3E5C">
        <w:t xml:space="preserve"> </w:t>
      </w:r>
      <w:r w:rsidR="00CA6E51" w:rsidRPr="005A4347">
        <w:t xml:space="preserve">workstations conducted </w:t>
      </w:r>
      <w:r w:rsidR="000E5733" w:rsidRPr="005A4347">
        <w:t xml:space="preserve">at least one </w:t>
      </w:r>
      <w:r w:rsidR="00CA6E51" w:rsidRPr="005A4347">
        <w:t xml:space="preserve">emissions test </w:t>
      </w:r>
      <w:r w:rsidR="000E5733" w:rsidRPr="005A4347">
        <w:t>during</w:t>
      </w:r>
      <w:r w:rsidR="004243EE" w:rsidRPr="00BE3E5C">
        <w:t xml:space="preserve"> </w:t>
      </w:r>
      <w:r w:rsidR="00031D75" w:rsidRPr="00BE3E5C">
        <w:t>201</w:t>
      </w:r>
      <w:r w:rsidR="00031D75">
        <w:t>6</w:t>
      </w:r>
      <w:r w:rsidR="000E5733" w:rsidRPr="00BE3E5C">
        <w:t>.</w:t>
      </w:r>
    </w:p>
    <w:p w:rsidR="00B40819" w:rsidRPr="00BE3E5C" w:rsidRDefault="00B40819">
      <w:pPr>
        <w:pStyle w:val="BodyText"/>
        <w:rPr>
          <w:u w:val="none"/>
        </w:rPr>
      </w:pPr>
    </w:p>
    <w:p w:rsidR="00640AED" w:rsidRPr="00BE3E5C" w:rsidRDefault="001E632E">
      <w:pPr>
        <w:pStyle w:val="BodyText"/>
        <w:rPr>
          <w:u w:val="none"/>
        </w:rPr>
      </w:pPr>
      <w:r w:rsidRPr="00BE3E5C">
        <w:rPr>
          <w:u w:val="none"/>
        </w:rPr>
        <w:t>Thirty</w:t>
      </w:r>
      <w:r w:rsidR="00031D75">
        <w:rPr>
          <w:u w:val="none"/>
        </w:rPr>
        <w:t>-one</w:t>
      </w:r>
      <w:r w:rsidR="007A7ABB" w:rsidRPr="00BE3E5C">
        <w:rPr>
          <w:u w:val="none"/>
        </w:rPr>
        <w:t xml:space="preserve"> </w:t>
      </w:r>
      <w:r w:rsidR="006414CF" w:rsidRPr="00BE3E5C">
        <w:rPr>
          <w:u w:val="none"/>
        </w:rPr>
        <w:t>RMV</w:t>
      </w:r>
      <w:r w:rsidR="00DA0B93" w:rsidRPr="00BE3E5C">
        <w:rPr>
          <w:u w:val="none"/>
        </w:rPr>
        <w:t xml:space="preserve"> </w:t>
      </w:r>
      <w:r w:rsidR="00872E50" w:rsidRPr="00BE3E5C">
        <w:rPr>
          <w:u w:val="none"/>
        </w:rPr>
        <w:t>field i</w:t>
      </w:r>
      <w:r w:rsidR="00F06FE6" w:rsidRPr="00BE3E5C">
        <w:rPr>
          <w:u w:val="none"/>
        </w:rPr>
        <w:t xml:space="preserve">nvestigators </w:t>
      </w:r>
      <w:r w:rsidR="00DA0B93" w:rsidRPr="00BE3E5C">
        <w:rPr>
          <w:u w:val="none"/>
        </w:rPr>
        <w:t xml:space="preserve">performed a total of </w:t>
      </w:r>
      <w:r w:rsidR="00031D75">
        <w:rPr>
          <w:u w:val="none"/>
        </w:rPr>
        <w:t>5,970</w:t>
      </w:r>
      <w:r w:rsidR="00266334" w:rsidRPr="00BE3E5C">
        <w:rPr>
          <w:u w:val="none"/>
        </w:rPr>
        <w:t xml:space="preserve"> </w:t>
      </w:r>
      <w:r w:rsidR="005C24D6" w:rsidRPr="00BE3E5C">
        <w:rPr>
          <w:u w:val="none"/>
        </w:rPr>
        <w:t xml:space="preserve">OBD </w:t>
      </w:r>
      <w:r w:rsidR="009A7446" w:rsidRPr="00BE3E5C">
        <w:rPr>
          <w:u w:val="none"/>
        </w:rPr>
        <w:t xml:space="preserve">test </w:t>
      </w:r>
      <w:r w:rsidR="00F045F3" w:rsidRPr="00BE3E5C">
        <w:rPr>
          <w:u w:val="none"/>
        </w:rPr>
        <w:t xml:space="preserve">equipment </w:t>
      </w:r>
      <w:r w:rsidR="00DA0B93" w:rsidRPr="00BE3E5C">
        <w:rPr>
          <w:u w:val="none"/>
        </w:rPr>
        <w:t xml:space="preserve">audits in </w:t>
      </w:r>
      <w:r w:rsidR="00031D75" w:rsidRPr="00BE3E5C">
        <w:rPr>
          <w:u w:val="none"/>
        </w:rPr>
        <w:t>201</w:t>
      </w:r>
      <w:r w:rsidR="00031D75">
        <w:rPr>
          <w:u w:val="none"/>
        </w:rPr>
        <w:t>6</w:t>
      </w:r>
      <w:r w:rsidR="00B01E18" w:rsidRPr="00BE3E5C">
        <w:rPr>
          <w:u w:val="none"/>
        </w:rPr>
        <w:t xml:space="preserve">.  This </w:t>
      </w:r>
      <w:r w:rsidR="00DA0B93" w:rsidRPr="00BE3E5C">
        <w:rPr>
          <w:u w:val="none"/>
        </w:rPr>
        <w:t>covered</w:t>
      </w:r>
      <w:r w:rsidR="00F6335F" w:rsidRPr="00BE3E5C">
        <w:rPr>
          <w:u w:val="none"/>
        </w:rPr>
        <w:t xml:space="preserve"> </w:t>
      </w:r>
      <w:r w:rsidR="00031D75">
        <w:rPr>
          <w:u w:val="none"/>
        </w:rPr>
        <w:t>1,838</w:t>
      </w:r>
      <w:r w:rsidR="00266334" w:rsidRPr="00BE3E5C">
        <w:rPr>
          <w:u w:val="none"/>
        </w:rPr>
        <w:t xml:space="preserve"> </w:t>
      </w:r>
      <w:r w:rsidR="00DA0B93" w:rsidRPr="00BE3E5C">
        <w:rPr>
          <w:u w:val="none"/>
        </w:rPr>
        <w:t xml:space="preserve">different workstations (lanes) and </w:t>
      </w:r>
      <w:r w:rsidR="00031D75">
        <w:rPr>
          <w:u w:val="none"/>
        </w:rPr>
        <w:t>1,777</w:t>
      </w:r>
      <w:r w:rsidR="00BD6FDE" w:rsidRPr="00BE3E5C">
        <w:rPr>
          <w:u w:val="none"/>
        </w:rPr>
        <w:t xml:space="preserve"> </w:t>
      </w:r>
      <w:r w:rsidR="00DA0B93" w:rsidRPr="00BE3E5C">
        <w:rPr>
          <w:u w:val="none"/>
        </w:rPr>
        <w:t>different inspection stations</w:t>
      </w:r>
      <w:r w:rsidR="00B01E18" w:rsidRPr="00BE3E5C">
        <w:rPr>
          <w:u w:val="none"/>
        </w:rPr>
        <w:t xml:space="preserve">, with </w:t>
      </w:r>
      <w:r w:rsidR="008843CB">
        <w:rPr>
          <w:u w:val="none"/>
        </w:rPr>
        <w:t>1,731</w:t>
      </w:r>
      <w:r w:rsidR="00167852" w:rsidRPr="00BE3E5C">
        <w:rPr>
          <w:u w:val="none"/>
        </w:rPr>
        <w:t xml:space="preserve"> </w:t>
      </w:r>
      <w:r w:rsidR="00DA7269" w:rsidRPr="00BE3E5C">
        <w:rPr>
          <w:u w:val="none"/>
        </w:rPr>
        <w:t xml:space="preserve">workstations </w:t>
      </w:r>
      <w:r w:rsidR="00B01E18" w:rsidRPr="00BE3E5C">
        <w:rPr>
          <w:u w:val="none"/>
        </w:rPr>
        <w:t xml:space="preserve">being </w:t>
      </w:r>
      <w:r w:rsidR="00DA7269" w:rsidRPr="00BE3E5C">
        <w:rPr>
          <w:u w:val="none"/>
        </w:rPr>
        <w:t>audited more than once</w:t>
      </w:r>
      <w:r w:rsidR="0074391D" w:rsidRPr="00BE3E5C">
        <w:rPr>
          <w:u w:val="none"/>
        </w:rPr>
        <w:t>.</w:t>
      </w:r>
    </w:p>
    <w:p w:rsidR="00BC6C4A" w:rsidRPr="00BE3E5C" w:rsidRDefault="00BC6C4A">
      <w:pPr>
        <w:pStyle w:val="BodyText"/>
        <w:rPr>
          <w:u w:val="none"/>
        </w:rPr>
      </w:pPr>
    </w:p>
    <w:p w:rsidR="00C748D9" w:rsidRPr="00BE3E5C" w:rsidRDefault="00C748D9" w:rsidP="00545B5F">
      <w:r w:rsidRPr="00BE3E5C">
        <w:t>In</w:t>
      </w:r>
      <w:r w:rsidR="00E259B1" w:rsidRPr="00BE3E5C">
        <w:t xml:space="preserve"> </w:t>
      </w:r>
      <w:r w:rsidR="00031D75" w:rsidRPr="00BE3E5C">
        <w:t>201</w:t>
      </w:r>
      <w:r w:rsidR="00031D75">
        <w:t>6</w:t>
      </w:r>
      <w:r w:rsidRPr="00BE3E5C">
        <w:t xml:space="preserve">, </w:t>
      </w:r>
      <w:r w:rsidR="008843CB">
        <w:t>eighteen</w:t>
      </w:r>
      <w:r w:rsidRPr="00BE3E5C">
        <w:t xml:space="preserve"> stations failed at least one OBD audit.  </w:t>
      </w:r>
      <w:r w:rsidR="008843CB">
        <w:t>One</w:t>
      </w:r>
      <w:r w:rsidR="008843CB" w:rsidRPr="00BE3E5C">
        <w:t xml:space="preserve"> </w:t>
      </w:r>
      <w:r w:rsidRPr="00BE3E5C">
        <w:t xml:space="preserve">of these stations failed </w:t>
      </w:r>
      <w:r w:rsidR="00F6335F" w:rsidRPr="00BE3E5C">
        <w:t xml:space="preserve">two </w:t>
      </w:r>
      <w:r w:rsidRPr="00BE3E5C">
        <w:t>audit</w:t>
      </w:r>
      <w:r w:rsidR="00E259B1" w:rsidRPr="00BE3E5C">
        <w:t>s</w:t>
      </w:r>
      <w:r w:rsidR="007A7ABB" w:rsidRPr="00BE3E5C">
        <w:t>.</w:t>
      </w:r>
    </w:p>
    <w:p w:rsidR="00C748D9" w:rsidRPr="00BE3E5C" w:rsidRDefault="00C748D9" w:rsidP="00545B5F"/>
    <w:p w:rsidR="00D01B5E" w:rsidRPr="00BE3E5C" w:rsidRDefault="00C748D9" w:rsidP="00545B5F">
      <w:pPr>
        <w:pStyle w:val="BodyText"/>
        <w:rPr>
          <w:u w:val="none"/>
        </w:rPr>
      </w:pPr>
      <w:r w:rsidRPr="00BE3E5C">
        <w:rPr>
          <w:u w:val="none"/>
        </w:rPr>
        <w:t xml:space="preserve">In </w:t>
      </w:r>
      <w:r w:rsidR="00031D75" w:rsidRPr="00BE3E5C">
        <w:rPr>
          <w:u w:val="none"/>
        </w:rPr>
        <w:t>201</w:t>
      </w:r>
      <w:r w:rsidR="00031D75">
        <w:rPr>
          <w:u w:val="none"/>
        </w:rPr>
        <w:t>6</w:t>
      </w:r>
      <w:r w:rsidR="00E519BC" w:rsidRPr="00BE3E5C">
        <w:rPr>
          <w:u w:val="none"/>
        </w:rPr>
        <w:t xml:space="preserve">, </w:t>
      </w:r>
      <w:r w:rsidR="008843CB">
        <w:rPr>
          <w:u w:val="none"/>
        </w:rPr>
        <w:t>no</w:t>
      </w:r>
      <w:r w:rsidR="008843CB" w:rsidRPr="00BE3E5C">
        <w:rPr>
          <w:u w:val="none"/>
        </w:rPr>
        <w:t xml:space="preserve"> </w:t>
      </w:r>
      <w:r w:rsidRPr="00BE3E5C">
        <w:rPr>
          <w:u w:val="none"/>
        </w:rPr>
        <w:t xml:space="preserve">stations failed OBD functional checks.  </w:t>
      </w:r>
    </w:p>
    <w:p w:rsidR="00C748D9" w:rsidRPr="00BE3E5C" w:rsidRDefault="00C748D9" w:rsidP="00545B5F">
      <w:pPr>
        <w:pStyle w:val="BodyText"/>
      </w:pPr>
    </w:p>
    <w:p w:rsidR="00D01B5E" w:rsidRPr="00BE3E5C" w:rsidRDefault="008843CB" w:rsidP="00545B5F">
      <w:pPr>
        <w:pStyle w:val="BodyText"/>
        <w:rPr>
          <w:u w:val="none"/>
        </w:rPr>
      </w:pPr>
      <w:r>
        <w:rPr>
          <w:u w:val="none"/>
        </w:rPr>
        <w:lastRenderedPageBreak/>
        <w:t>Seventeen</w:t>
      </w:r>
      <w:r w:rsidR="001431BC" w:rsidRPr="00BE3E5C">
        <w:rPr>
          <w:u w:val="none"/>
        </w:rPr>
        <w:t xml:space="preserve"> </w:t>
      </w:r>
      <w:r w:rsidR="00C748D9" w:rsidRPr="00BE3E5C">
        <w:rPr>
          <w:u w:val="none"/>
        </w:rPr>
        <w:t xml:space="preserve">stations failed OBD functional checks or the visual cable </w:t>
      </w:r>
      <w:r w:rsidR="00DE69BF" w:rsidRPr="00BE3E5C">
        <w:rPr>
          <w:u w:val="none"/>
        </w:rPr>
        <w:t xml:space="preserve">and </w:t>
      </w:r>
      <w:r w:rsidR="00C748D9" w:rsidRPr="00BE3E5C">
        <w:rPr>
          <w:u w:val="none"/>
        </w:rPr>
        <w:t xml:space="preserve">connector check.  These stations represent </w:t>
      </w:r>
      <w:r w:rsidR="00101FBC" w:rsidRPr="00BE3E5C">
        <w:rPr>
          <w:u w:val="none"/>
        </w:rPr>
        <w:t>1.</w:t>
      </w:r>
      <w:r>
        <w:rPr>
          <w:u w:val="none"/>
        </w:rPr>
        <w:t>0.96</w:t>
      </w:r>
      <w:r w:rsidR="00DE69BF" w:rsidRPr="00BE3E5C">
        <w:rPr>
          <w:u w:val="none"/>
        </w:rPr>
        <w:t>%</w:t>
      </w:r>
      <w:r w:rsidR="001431BC" w:rsidRPr="00BE3E5C">
        <w:rPr>
          <w:u w:val="none"/>
        </w:rPr>
        <w:t xml:space="preserve"> (</w:t>
      </w:r>
      <w:r>
        <w:rPr>
          <w:u w:val="none"/>
        </w:rPr>
        <w:t>17</w:t>
      </w:r>
      <w:r w:rsidR="00DE69BF" w:rsidRPr="00BE3E5C">
        <w:rPr>
          <w:u w:val="none"/>
        </w:rPr>
        <w:t>/</w:t>
      </w:r>
      <w:r>
        <w:rPr>
          <w:u w:val="none"/>
        </w:rPr>
        <w:t>1,777</w:t>
      </w:r>
      <w:r w:rsidR="001431BC" w:rsidRPr="00BE3E5C">
        <w:rPr>
          <w:u w:val="none"/>
        </w:rPr>
        <w:t>)</w:t>
      </w:r>
      <w:r w:rsidR="00C748D9" w:rsidRPr="00BE3E5C">
        <w:rPr>
          <w:u w:val="none"/>
        </w:rPr>
        <w:t xml:space="preserve"> of all audited inspection stations and </w:t>
      </w:r>
      <w:r>
        <w:rPr>
          <w:u w:val="none"/>
        </w:rPr>
        <w:t>1.05</w:t>
      </w:r>
      <w:r w:rsidR="00DE69BF" w:rsidRPr="00BE3E5C">
        <w:rPr>
          <w:u w:val="none"/>
        </w:rPr>
        <w:t>%</w:t>
      </w:r>
      <w:r w:rsidR="001431BC" w:rsidRPr="00BE3E5C">
        <w:rPr>
          <w:u w:val="none"/>
        </w:rPr>
        <w:t xml:space="preserve"> (</w:t>
      </w:r>
      <w:r>
        <w:rPr>
          <w:u w:val="none"/>
        </w:rPr>
        <w:t>17</w:t>
      </w:r>
      <w:r w:rsidR="00DE69BF" w:rsidRPr="00BE3E5C">
        <w:rPr>
          <w:u w:val="none"/>
        </w:rPr>
        <w:t>/</w:t>
      </w:r>
      <w:r>
        <w:rPr>
          <w:u w:val="none"/>
        </w:rPr>
        <w:t>1,623</w:t>
      </w:r>
      <w:r w:rsidR="001431BC" w:rsidRPr="00BE3E5C">
        <w:rPr>
          <w:u w:val="none"/>
        </w:rPr>
        <w:t>)</w:t>
      </w:r>
      <w:r w:rsidR="00C748D9" w:rsidRPr="00BE3E5C">
        <w:rPr>
          <w:u w:val="none"/>
        </w:rPr>
        <w:t xml:space="preserve"> of stations that conducted emissions inspections throughout the year.  </w:t>
      </w:r>
    </w:p>
    <w:p w:rsidR="00C748D9" w:rsidRPr="00BE3E5C" w:rsidRDefault="00C748D9" w:rsidP="00545B5F">
      <w:pPr>
        <w:pStyle w:val="BodyText"/>
        <w:rPr>
          <w:u w:val="none"/>
        </w:rPr>
      </w:pPr>
    </w:p>
    <w:p w:rsidR="00C748D9" w:rsidRPr="00BE3E5C" w:rsidRDefault="00C748D9" w:rsidP="00C748D9">
      <w:pPr>
        <w:pStyle w:val="BodyText"/>
        <w:rPr>
          <w:u w:val="none"/>
        </w:rPr>
      </w:pPr>
      <w:r w:rsidRPr="00BE3E5C">
        <w:rPr>
          <w:u w:val="none"/>
        </w:rPr>
        <w:t xml:space="preserve">No stations or workstations were shut down by the </w:t>
      </w:r>
      <w:r w:rsidR="00DD4261" w:rsidRPr="00BE3E5C">
        <w:rPr>
          <w:u w:val="none"/>
        </w:rPr>
        <w:t xml:space="preserve">field investigators </w:t>
      </w:r>
      <w:r w:rsidRPr="00BE3E5C">
        <w:rPr>
          <w:u w:val="none"/>
        </w:rPr>
        <w:t xml:space="preserve">as a result of the OBD equipment audits.  </w:t>
      </w:r>
      <w:r w:rsidR="003B5C32" w:rsidRPr="00BE3E5C">
        <w:rPr>
          <w:u w:val="none"/>
        </w:rPr>
        <w:t xml:space="preserve">However, </w:t>
      </w:r>
      <w:r w:rsidR="007C79F2" w:rsidRPr="00BE3E5C">
        <w:rPr>
          <w:u w:val="none"/>
        </w:rPr>
        <w:t>in some cases the workstation was automatically locked out from performing OBD inspections prior to the audit.</w:t>
      </w:r>
      <w:r w:rsidR="003B5C32" w:rsidRPr="00BE3E5C">
        <w:rPr>
          <w:u w:val="none"/>
        </w:rPr>
        <w:t xml:space="preserve"> </w:t>
      </w:r>
      <w:r w:rsidR="007C79F2" w:rsidRPr="00BE3E5C">
        <w:rPr>
          <w:u w:val="none"/>
        </w:rPr>
        <w:t xml:space="preserve"> </w:t>
      </w:r>
      <w:r w:rsidRPr="00BE3E5C">
        <w:rPr>
          <w:u w:val="none"/>
        </w:rPr>
        <w:t xml:space="preserve">  </w:t>
      </w:r>
      <w:r w:rsidR="008843CB">
        <w:rPr>
          <w:u w:val="none"/>
        </w:rPr>
        <w:t>One</w:t>
      </w:r>
      <w:r w:rsidR="008843CB" w:rsidRPr="00BE3E5C">
        <w:rPr>
          <w:u w:val="none"/>
        </w:rPr>
        <w:t xml:space="preserve"> </w:t>
      </w:r>
      <w:r w:rsidRPr="00BE3E5C">
        <w:rPr>
          <w:u w:val="none"/>
        </w:rPr>
        <w:t>audit that failed for the cable and connector condition</w:t>
      </w:r>
      <w:r w:rsidR="007C79F2" w:rsidRPr="00BE3E5C">
        <w:rPr>
          <w:u w:val="none"/>
        </w:rPr>
        <w:t xml:space="preserve"> </w:t>
      </w:r>
      <w:r w:rsidR="008843CB">
        <w:rPr>
          <w:u w:val="none"/>
        </w:rPr>
        <w:t>was</w:t>
      </w:r>
      <w:r w:rsidR="008843CB" w:rsidRPr="00BE3E5C">
        <w:rPr>
          <w:u w:val="none"/>
        </w:rPr>
        <w:t xml:space="preserve"> </w:t>
      </w:r>
      <w:r w:rsidR="007C79F2" w:rsidRPr="00BE3E5C">
        <w:rPr>
          <w:u w:val="none"/>
        </w:rPr>
        <w:t>conducted</w:t>
      </w:r>
      <w:r w:rsidR="003B5C32" w:rsidRPr="00BE3E5C">
        <w:rPr>
          <w:u w:val="none"/>
        </w:rPr>
        <w:t xml:space="preserve"> </w:t>
      </w:r>
      <w:r w:rsidR="007C79F2" w:rsidRPr="00BE3E5C">
        <w:rPr>
          <w:u w:val="none"/>
        </w:rPr>
        <w:t xml:space="preserve">when the workstation </w:t>
      </w:r>
      <w:r w:rsidR="008843CB" w:rsidRPr="00BE3E5C">
        <w:rPr>
          <w:u w:val="none"/>
        </w:rPr>
        <w:t>w</w:t>
      </w:r>
      <w:r w:rsidR="008843CB">
        <w:rPr>
          <w:u w:val="none"/>
        </w:rPr>
        <w:t>as</w:t>
      </w:r>
      <w:r w:rsidR="008843CB" w:rsidRPr="00BE3E5C">
        <w:rPr>
          <w:u w:val="none"/>
        </w:rPr>
        <w:t xml:space="preserve"> </w:t>
      </w:r>
      <w:r w:rsidR="007C79F2" w:rsidRPr="00BE3E5C">
        <w:rPr>
          <w:u w:val="none"/>
        </w:rPr>
        <w:t>automatically locked out from performing OBD inspections</w:t>
      </w:r>
      <w:r w:rsidR="000664D6" w:rsidRPr="00BE3E5C">
        <w:rPr>
          <w:u w:val="none"/>
        </w:rPr>
        <w:t xml:space="preserve">.  </w:t>
      </w:r>
    </w:p>
    <w:p w:rsidR="00BC6C4A" w:rsidRPr="00BE3E5C" w:rsidRDefault="00BC6C4A">
      <w:pPr>
        <w:pStyle w:val="BodyText"/>
        <w:rPr>
          <w:u w:val="none"/>
        </w:rPr>
      </w:pPr>
    </w:p>
    <w:p w:rsidR="00DA0B93" w:rsidRPr="00E85C2E" w:rsidRDefault="002921EF" w:rsidP="002921EF">
      <w:pPr>
        <w:pStyle w:val="Heading1"/>
        <w:widowControl/>
      </w:pPr>
      <w:bookmarkStart w:id="22" w:name="_Toc329697891"/>
      <w:r w:rsidRPr="00E85C2E">
        <w:t xml:space="preserve">Detailed </w:t>
      </w:r>
      <w:r w:rsidR="00F257BC" w:rsidRPr="00E85C2E">
        <w:t>OBD</w:t>
      </w:r>
      <w:r w:rsidR="00F045F3" w:rsidRPr="00E85C2E">
        <w:t xml:space="preserve"> Test Equipment </w:t>
      </w:r>
      <w:r w:rsidR="00296AD6" w:rsidRPr="00E85C2E">
        <w:t>Audit Results</w:t>
      </w:r>
      <w:bookmarkEnd w:id="22"/>
    </w:p>
    <w:p w:rsidR="00F06FE6" w:rsidRPr="00E85C2E" w:rsidRDefault="00F06FE6" w:rsidP="002F47E6">
      <w:pPr>
        <w:keepNext/>
      </w:pPr>
    </w:p>
    <w:p w:rsidR="00B40819" w:rsidRPr="00E85C2E" w:rsidRDefault="00003DE6" w:rsidP="002F47E6">
      <w:pPr>
        <w:pStyle w:val="FootnoteText"/>
        <w:keepNext/>
        <w:shd w:val="clear" w:color="auto" w:fill="FFFFFF"/>
        <w:rPr>
          <w:sz w:val="24"/>
          <w:szCs w:val="24"/>
        </w:rPr>
      </w:pPr>
      <w:r w:rsidRPr="00E85C2E">
        <w:rPr>
          <w:sz w:val="24"/>
          <w:szCs w:val="24"/>
        </w:rPr>
        <w:t xml:space="preserve">Table </w:t>
      </w:r>
      <w:r w:rsidR="0009447C" w:rsidRPr="00E85C2E">
        <w:rPr>
          <w:sz w:val="24"/>
          <w:szCs w:val="24"/>
        </w:rPr>
        <w:t>3</w:t>
      </w:r>
      <w:r w:rsidR="000736C8" w:rsidRPr="00E85C2E">
        <w:rPr>
          <w:sz w:val="24"/>
          <w:szCs w:val="24"/>
        </w:rPr>
        <w:t xml:space="preserve"> </w:t>
      </w:r>
      <w:r w:rsidRPr="00E85C2E">
        <w:rPr>
          <w:sz w:val="24"/>
          <w:szCs w:val="24"/>
        </w:rPr>
        <w:t xml:space="preserve">presents a breakdown of the results of the </w:t>
      </w:r>
      <w:r w:rsidR="002D500D" w:rsidRPr="00E85C2E">
        <w:rPr>
          <w:sz w:val="24"/>
          <w:szCs w:val="24"/>
        </w:rPr>
        <w:t xml:space="preserve">Workstation </w:t>
      </w:r>
      <w:r w:rsidRPr="00E85C2E">
        <w:rPr>
          <w:sz w:val="24"/>
          <w:szCs w:val="24"/>
        </w:rPr>
        <w:t>OBD test equipment audits conducted in</w:t>
      </w:r>
      <w:r w:rsidR="00346674" w:rsidRPr="00E85C2E">
        <w:rPr>
          <w:sz w:val="24"/>
          <w:szCs w:val="24"/>
        </w:rPr>
        <w:t xml:space="preserve"> </w:t>
      </w:r>
      <w:r w:rsidR="00031D75" w:rsidRPr="00E85C2E">
        <w:rPr>
          <w:sz w:val="24"/>
          <w:szCs w:val="24"/>
        </w:rPr>
        <w:t>201</w:t>
      </w:r>
      <w:r w:rsidR="00031D75">
        <w:rPr>
          <w:sz w:val="24"/>
          <w:szCs w:val="24"/>
        </w:rPr>
        <w:t>6</w:t>
      </w:r>
      <w:r w:rsidRPr="00E85C2E">
        <w:rPr>
          <w:sz w:val="24"/>
          <w:szCs w:val="24"/>
        </w:rPr>
        <w:t>, including individual audit parts and overall audit results.</w:t>
      </w:r>
      <w:r w:rsidR="00DA0B93" w:rsidRPr="00E85C2E">
        <w:t xml:space="preserve">  </w:t>
      </w:r>
      <w:r w:rsidRPr="00E85C2E">
        <w:rPr>
          <w:sz w:val="24"/>
          <w:szCs w:val="24"/>
        </w:rPr>
        <w:t>To pass the overall audit, the workstation cannot fail any individual audit part.</w:t>
      </w:r>
    </w:p>
    <w:p w:rsidR="00AB31BE" w:rsidRPr="007225C1" w:rsidRDefault="00AB31BE" w:rsidP="002F47E6">
      <w:pPr>
        <w:pStyle w:val="FootnoteText"/>
        <w:keepNext/>
        <w:shd w:val="clear" w:color="auto" w:fill="FFFFFF"/>
        <w:rPr>
          <w:sz w:val="24"/>
          <w:szCs w:val="24"/>
          <w:highlight w:val="yellow"/>
        </w:rPr>
      </w:pPr>
    </w:p>
    <w:p w:rsidR="00DA0B93" w:rsidRPr="008E44E6" w:rsidRDefault="00DA0B93" w:rsidP="0034412C">
      <w:pPr>
        <w:pStyle w:val="Heading7"/>
        <w:keepLines/>
        <w:rPr>
          <w:rFonts w:ascii="Times New Roman" w:hAnsi="Times New Roman"/>
        </w:rPr>
      </w:pPr>
      <w:r w:rsidRPr="008E44E6">
        <w:rPr>
          <w:rFonts w:ascii="Times New Roman" w:hAnsi="Times New Roman"/>
        </w:rPr>
        <w:t xml:space="preserve">Table </w:t>
      </w:r>
      <w:r w:rsidR="000736C8" w:rsidRPr="008E44E6">
        <w:rPr>
          <w:rFonts w:ascii="Times New Roman" w:hAnsi="Times New Roman"/>
        </w:rPr>
        <w:t>3</w:t>
      </w:r>
      <w:r w:rsidRPr="008E44E6">
        <w:rPr>
          <w:rFonts w:ascii="Times New Roman" w:hAnsi="Times New Roman"/>
        </w:rPr>
        <w:t xml:space="preserve">: </w:t>
      </w:r>
      <w:r w:rsidR="00DE0F75" w:rsidRPr="008E44E6">
        <w:rPr>
          <w:rFonts w:ascii="Times New Roman" w:hAnsi="Times New Roman"/>
        </w:rPr>
        <w:t>OBD</w:t>
      </w:r>
      <w:r w:rsidR="00470CA9" w:rsidRPr="008E44E6">
        <w:rPr>
          <w:rFonts w:ascii="Times New Roman" w:hAnsi="Times New Roman"/>
        </w:rPr>
        <w:t xml:space="preserve"> Test Equipment </w:t>
      </w:r>
      <w:r w:rsidR="00E215C6" w:rsidRPr="008E44E6">
        <w:rPr>
          <w:rFonts w:ascii="Times New Roman" w:hAnsi="Times New Roman"/>
        </w:rPr>
        <w:t xml:space="preserve">Audit Results </w:t>
      </w:r>
    </w:p>
    <w:p w:rsidR="00A4417C" w:rsidRDefault="00A4417C" w:rsidP="003018EE">
      <w:pPr>
        <w:pStyle w:val="BodyText"/>
        <w:shd w:val="clear" w:color="auto" w:fill="FFFFFF"/>
        <w:rPr>
          <w:highlight w:val="yellow"/>
          <w:u w:val="none"/>
        </w:rPr>
      </w:pPr>
    </w:p>
    <w:p w:rsidR="0041313D" w:rsidRDefault="0041313D" w:rsidP="0041313D">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454"/>
        <w:gridCol w:w="1314"/>
        <w:gridCol w:w="1268"/>
        <w:gridCol w:w="1470"/>
        <w:gridCol w:w="1494"/>
      </w:tblGrid>
      <w:tr w:rsidR="0041313D" w:rsidRPr="00305642" w:rsidTr="00DC54A6">
        <w:tc>
          <w:tcPr>
            <w:tcW w:w="9576" w:type="dxa"/>
            <w:gridSpan w:val="6"/>
            <w:vAlign w:val="center"/>
          </w:tcPr>
          <w:p w:rsidR="0041313D" w:rsidRPr="00BA4215" w:rsidRDefault="00031D75" w:rsidP="00B34519">
            <w:pPr>
              <w:jc w:val="center"/>
              <w:rPr>
                <w:b/>
                <w:u w:val="single"/>
              </w:rPr>
            </w:pPr>
            <w:r w:rsidRPr="00BA4215">
              <w:rPr>
                <w:b/>
                <w:u w:val="single"/>
              </w:rPr>
              <w:t>201</w:t>
            </w:r>
            <w:r>
              <w:rPr>
                <w:b/>
                <w:u w:val="single"/>
              </w:rPr>
              <w:t>6</w:t>
            </w:r>
            <w:r w:rsidRPr="00BA4215">
              <w:rPr>
                <w:b/>
                <w:u w:val="single"/>
              </w:rPr>
              <w:t xml:space="preserve"> </w:t>
            </w:r>
            <w:r w:rsidR="0041313D" w:rsidRPr="00BA4215">
              <w:rPr>
                <w:b/>
                <w:u w:val="single"/>
              </w:rPr>
              <w:t xml:space="preserve">Audit Results – </w:t>
            </w:r>
            <w:r w:rsidR="00B34519">
              <w:rPr>
                <w:b/>
                <w:u w:val="single"/>
              </w:rPr>
              <w:t>5,970</w:t>
            </w:r>
            <w:r w:rsidR="0041313D" w:rsidRPr="00BA4215">
              <w:rPr>
                <w:b/>
                <w:u w:val="single"/>
              </w:rPr>
              <w:t xml:space="preserve"> Audits completed</w:t>
            </w:r>
          </w:p>
        </w:tc>
      </w:tr>
      <w:tr w:rsidR="0041313D" w:rsidRPr="00305642" w:rsidTr="00DC54A6">
        <w:tc>
          <w:tcPr>
            <w:tcW w:w="1845" w:type="dxa"/>
          </w:tcPr>
          <w:p w:rsidR="0041313D" w:rsidRPr="00BA4215" w:rsidRDefault="0041313D" w:rsidP="00DC54A6">
            <w:pPr>
              <w:rPr>
                <w:u w:val="single"/>
              </w:rPr>
            </w:pPr>
            <w:r w:rsidRPr="00BA4215">
              <w:rPr>
                <w:u w:val="single"/>
              </w:rPr>
              <w:t>Communications Check</w:t>
            </w:r>
          </w:p>
        </w:tc>
        <w:tc>
          <w:tcPr>
            <w:tcW w:w="1612" w:type="dxa"/>
          </w:tcPr>
          <w:p w:rsidR="0041313D" w:rsidRPr="00BA4215" w:rsidRDefault="0041313D" w:rsidP="00DC54A6">
            <w:pPr>
              <w:rPr>
                <w:u w:val="single"/>
              </w:rPr>
            </w:pPr>
            <w:r w:rsidRPr="00BA4215">
              <w:rPr>
                <w:u w:val="single"/>
              </w:rPr>
              <w:t>Accuracy Check (including RPM)</w:t>
            </w:r>
          </w:p>
        </w:tc>
        <w:tc>
          <w:tcPr>
            <w:tcW w:w="1612" w:type="dxa"/>
          </w:tcPr>
          <w:p w:rsidR="0041313D" w:rsidRPr="00BA4215" w:rsidRDefault="0041313D" w:rsidP="00DC54A6">
            <w:pPr>
              <w:rPr>
                <w:u w:val="single"/>
              </w:rPr>
            </w:pPr>
            <w:r>
              <w:t xml:space="preserve">Visual </w:t>
            </w:r>
            <w:r w:rsidRPr="00305642">
              <w:t>Check</w:t>
            </w:r>
          </w:p>
        </w:tc>
        <w:tc>
          <w:tcPr>
            <w:tcW w:w="1502" w:type="dxa"/>
          </w:tcPr>
          <w:p w:rsidR="0041313D" w:rsidRPr="00BA4215" w:rsidRDefault="0041313D" w:rsidP="00DC54A6">
            <w:pPr>
              <w:rPr>
                <w:u w:val="single"/>
              </w:rPr>
            </w:pPr>
            <w:r w:rsidRPr="00BA4215">
              <w:rPr>
                <w:u w:val="single"/>
              </w:rPr>
              <w:t>Failing Totals</w:t>
            </w:r>
          </w:p>
        </w:tc>
        <w:tc>
          <w:tcPr>
            <w:tcW w:w="1368" w:type="dxa"/>
          </w:tcPr>
          <w:p w:rsidR="0041313D" w:rsidRPr="00BA4215" w:rsidRDefault="0041313D" w:rsidP="00DC54A6">
            <w:pPr>
              <w:rPr>
                <w:u w:val="single"/>
              </w:rPr>
            </w:pPr>
            <w:r w:rsidRPr="00BA4215">
              <w:rPr>
                <w:u w:val="single"/>
              </w:rPr>
              <w:t>Combination Subtotals</w:t>
            </w:r>
          </w:p>
        </w:tc>
        <w:tc>
          <w:tcPr>
            <w:tcW w:w="1637" w:type="dxa"/>
          </w:tcPr>
          <w:p w:rsidR="0041313D" w:rsidRPr="00BA4215" w:rsidRDefault="0041313D" w:rsidP="00DC54A6">
            <w:pPr>
              <w:rPr>
                <w:u w:val="single"/>
              </w:rPr>
            </w:pPr>
            <w:r w:rsidRPr="00BA4215">
              <w:rPr>
                <w:u w:val="single"/>
              </w:rPr>
              <w:t xml:space="preserve">Percentage Failure rate of Audits </w:t>
            </w:r>
          </w:p>
        </w:tc>
      </w:tr>
      <w:tr w:rsidR="0041313D" w:rsidRPr="00305642" w:rsidTr="00DC54A6">
        <w:tc>
          <w:tcPr>
            <w:tcW w:w="7939" w:type="dxa"/>
            <w:gridSpan w:val="5"/>
            <w:shd w:val="clear" w:color="auto" w:fill="000000"/>
          </w:tcPr>
          <w:p w:rsidR="0041313D" w:rsidRPr="00BA4215" w:rsidRDefault="0041313D" w:rsidP="00DC54A6">
            <w:pPr>
              <w:rPr>
                <w:color w:val="FFFFFF"/>
                <w:u w:val="single"/>
              </w:rPr>
            </w:pPr>
            <w:r w:rsidRPr="00BA4215">
              <w:rPr>
                <w:color w:val="FFFFFF"/>
                <w:u w:val="single"/>
              </w:rPr>
              <w:t>Failing Functional Checks</w:t>
            </w:r>
          </w:p>
        </w:tc>
        <w:tc>
          <w:tcPr>
            <w:tcW w:w="1637" w:type="dxa"/>
            <w:shd w:val="clear" w:color="auto" w:fill="000000"/>
          </w:tcPr>
          <w:p w:rsidR="0041313D" w:rsidRPr="00BA4215" w:rsidRDefault="0041313D" w:rsidP="00DC54A6">
            <w:pPr>
              <w:rPr>
                <w:color w:val="FFFFFF"/>
                <w:u w:val="single"/>
              </w:rPr>
            </w:pPr>
          </w:p>
        </w:tc>
      </w:tr>
      <w:tr w:rsidR="0041313D" w:rsidRPr="00305642" w:rsidTr="00DC54A6">
        <w:tc>
          <w:tcPr>
            <w:tcW w:w="1845" w:type="dxa"/>
          </w:tcPr>
          <w:p w:rsidR="0041313D" w:rsidRPr="00BA4215" w:rsidRDefault="0041313D" w:rsidP="00DC54A6">
            <w:pPr>
              <w:rPr>
                <w:u w:val="single"/>
              </w:rPr>
            </w:pPr>
            <w:r w:rsidRPr="00BA4215">
              <w:rPr>
                <w:u w:val="single"/>
              </w:rPr>
              <w:t>Fail</w:t>
            </w:r>
          </w:p>
        </w:tc>
        <w:tc>
          <w:tcPr>
            <w:tcW w:w="1612" w:type="dxa"/>
          </w:tcPr>
          <w:p w:rsidR="0041313D" w:rsidRPr="00BA4215" w:rsidRDefault="0041313D" w:rsidP="00DC54A6">
            <w:pPr>
              <w:rPr>
                <w:u w:val="single"/>
              </w:rPr>
            </w:pPr>
            <w:r w:rsidRPr="00BA4215">
              <w:rPr>
                <w:u w:val="single"/>
              </w:rPr>
              <w:t>NA</w:t>
            </w:r>
          </w:p>
        </w:tc>
        <w:tc>
          <w:tcPr>
            <w:tcW w:w="1612" w:type="dxa"/>
          </w:tcPr>
          <w:p w:rsidR="0041313D" w:rsidRPr="00BA4215" w:rsidRDefault="0041313D" w:rsidP="00DC54A6">
            <w:pPr>
              <w:rPr>
                <w:u w:val="single"/>
              </w:rPr>
            </w:pPr>
            <w:r w:rsidRPr="00BA4215">
              <w:rPr>
                <w:u w:val="single"/>
              </w:rPr>
              <w:t>Fail</w:t>
            </w:r>
          </w:p>
        </w:tc>
        <w:tc>
          <w:tcPr>
            <w:tcW w:w="1502" w:type="dxa"/>
          </w:tcPr>
          <w:p w:rsidR="0041313D" w:rsidRPr="00BA4215" w:rsidRDefault="00F93D2A" w:rsidP="00DC54A6">
            <w:pPr>
              <w:rPr>
                <w:u w:val="single"/>
              </w:rPr>
            </w:pPr>
            <w:r>
              <w:rPr>
                <w:u w:val="single"/>
              </w:rPr>
              <w:t>0</w:t>
            </w:r>
          </w:p>
        </w:tc>
        <w:tc>
          <w:tcPr>
            <w:tcW w:w="1368" w:type="dxa"/>
            <w:vMerge w:val="restart"/>
            <w:vAlign w:val="bottom"/>
          </w:tcPr>
          <w:p w:rsidR="0041313D" w:rsidRPr="00BA4215" w:rsidRDefault="00F93D2A" w:rsidP="00DC54A6">
            <w:pPr>
              <w:rPr>
                <w:u w:val="single"/>
              </w:rPr>
            </w:pPr>
            <w:r>
              <w:rPr>
                <w:u w:val="single"/>
              </w:rPr>
              <w:t>0</w:t>
            </w:r>
          </w:p>
        </w:tc>
        <w:tc>
          <w:tcPr>
            <w:tcW w:w="1637" w:type="dxa"/>
            <w:vMerge w:val="restart"/>
            <w:vAlign w:val="bottom"/>
          </w:tcPr>
          <w:p w:rsidR="0041313D" w:rsidRPr="00BA4215" w:rsidRDefault="0041313D" w:rsidP="00F93D2A">
            <w:pPr>
              <w:rPr>
                <w:u w:val="single"/>
              </w:rPr>
            </w:pPr>
            <w:r w:rsidRPr="00BA4215">
              <w:rPr>
                <w:u w:val="single"/>
              </w:rPr>
              <w:t>0.</w:t>
            </w:r>
            <w:r w:rsidR="00F93D2A">
              <w:rPr>
                <w:u w:val="single"/>
              </w:rPr>
              <w:t>00</w:t>
            </w:r>
            <w:r w:rsidRPr="00BA4215">
              <w:rPr>
                <w:u w:val="single"/>
              </w:rPr>
              <w:t>%</w:t>
            </w:r>
          </w:p>
        </w:tc>
      </w:tr>
      <w:tr w:rsidR="0041313D" w:rsidRPr="00305642" w:rsidTr="00DC54A6">
        <w:tc>
          <w:tcPr>
            <w:tcW w:w="1845" w:type="dxa"/>
          </w:tcPr>
          <w:p w:rsidR="0041313D" w:rsidRPr="00BA4215" w:rsidRDefault="0041313D" w:rsidP="00DC54A6">
            <w:pPr>
              <w:rPr>
                <w:u w:val="single"/>
              </w:rPr>
            </w:pPr>
            <w:r w:rsidRPr="00BA4215">
              <w:rPr>
                <w:u w:val="single"/>
              </w:rPr>
              <w:t>Fail</w:t>
            </w:r>
          </w:p>
        </w:tc>
        <w:tc>
          <w:tcPr>
            <w:tcW w:w="1612" w:type="dxa"/>
          </w:tcPr>
          <w:p w:rsidR="0041313D" w:rsidRPr="00BA4215" w:rsidRDefault="0041313D" w:rsidP="00DC54A6">
            <w:pPr>
              <w:rPr>
                <w:u w:val="single"/>
              </w:rPr>
            </w:pPr>
            <w:r w:rsidRPr="00BA4215">
              <w:rPr>
                <w:u w:val="single"/>
              </w:rPr>
              <w:t>NA</w:t>
            </w:r>
          </w:p>
        </w:tc>
        <w:tc>
          <w:tcPr>
            <w:tcW w:w="1612" w:type="dxa"/>
          </w:tcPr>
          <w:p w:rsidR="0041313D" w:rsidRPr="00BA4215" w:rsidRDefault="0041313D" w:rsidP="00DC54A6">
            <w:pPr>
              <w:rPr>
                <w:u w:val="single"/>
              </w:rPr>
            </w:pPr>
            <w:r w:rsidRPr="00BA4215">
              <w:rPr>
                <w:u w:val="single"/>
              </w:rPr>
              <w:t>Pass</w:t>
            </w:r>
          </w:p>
        </w:tc>
        <w:tc>
          <w:tcPr>
            <w:tcW w:w="1502" w:type="dxa"/>
          </w:tcPr>
          <w:p w:rsidR="0041313D" w:rsidRPr="00BA4215" w:rsidRDefault="00F93D2A" w:rsidP="00DC54A6">
            <w:pPr>
              <w:rPr>
                <w:u w:val="single"/>
              </w:rPr>
            </w:pPr>
            <w:r>
              <w:rPr>
                <w:u w:val="single"/>
              </w:rPr>
              <w:t>0</w:t>
            </w:r>
          </w:p>
        </w:tc>
        <w:tc>
          <w:tcPr>
            <w:tcW w:w="1368" w:type="dxa"/>
            <w:vMerge/>
          </w:tcPr>
          <w:p w:rsidR="0041313D" w:rsidRPr="00BA4215" w:rsidRDefault="0041313D" w:rsidP="00DC54A6">
            <w:pPr>
              <w:rPr>
                <w:u w:val="single"/>
              </w:rPr>
            </w:pPr>
          </w:p>
        </w:tc>
        <w:tc>
          <w:tcPr>
            <w:tcW w:w="1637" w:type="dxa"/>
            <w:vMerge/>
          </w:tcPr>
          <w:p w:rsidR="0041313D" w:rsidRPr="00BA4215" w:rsidRDefault="0041313D" w:rsidP="00DC54A6">
            <w:pPr>
              <w:rPr>
                <w:u w:val="single"/>
              </w:rPr>
            </w:pPr>
          </w:p>
        </w:tc>
      </w:tr>
      <w:tr w:rsidR="0041313D" w:rsidRPr="00305642" w:rsidTr="00DC54A6">
        <w:tc>
          <w:tcPr>
            <w:tcW w:w="7939" w:type="dxa"/>
            <w:gridSpan w:val="5"/>
            <w:shd w:val="clear" w:color="auto" w:fill="595959"/>
          </w:tcPr>
          <w:p w:rsidR="0041313D" w:rsidRPr="00BA4215" w:rsidRDefault="0041313D" w:rsidP="00DC54A6">
            <w:pPr>
              <w:rPr>
                <w:color w:val="FFFFFF"/>
                <w:u w:val="single"/>
              </w:rPr>
            </w:pPr>
            <w:r w:rsidRPr="00BA4215">
              <w:rPr>
                <w:color w:val="FFFFFF"/>
                <w:u w:val="single"/>
              </w:rPr>
              <w:t>Failing Visual Cable and Connector  Checks</w:t>
            </w:r>
          </w:p>
        </w:tc>
        <w:tc>
          <w:tcPr>
            <w:tcW w:w="1637" w:type="dxa"/>
            <w:shd w:val="clear" w:color="auto" w:fill="595959"/>
          </w:tcPr>
          <w:p w:rsidR="0041313D" w:rsidRPr="00BA4215" w:rsidRDefault="0041313D" w:rsidP="00DC54A6">
            <w:pPr>
              <w:rPr>
                <w:color w:val="FFFFFF"/>
                <w:u w:val="single"/>
              </w:rPr>
            </w:pPr>
          </w:p>
        </w:tc>
      </w:tr>
      <w:tr w:rsidR="0041313D" w:rsidRPr="00305642" w:rsidTr="00DC54A6">
        <w:tc>
          <w:tcPr>
            <w:tcW w:w="1845" w:type="dxa"/>
          </w:tcPr>
          <w:p w:rsidR="0041313D" w:rsidRPr="00BA4215" w:rsidRDefault="0041313D" w:rsidP="00DC54A6">
            <w:pPr>
              <w:rPr>
                <w:u w:val="single"/>
              </w:rPr>
            </w:pPr>
            <w:r w:rsidRPr="00BA4215">
              <w:rPr>
                <w:u w:val="single"/>
              </w:rPr>
              <w:t>Pass</w:t>
            </w:r>
          </w:p>
        </w:tc>
        <w:tc>
          <w:tcPr>
            <w:tcW w:w="1612" w:type="dxa"/>
          </w:tcPr>
          <w:p w:rsidR="0041313D" w:rsidRPr="00BA4215" w:rsidRDefault="0041313D" w:rsidP="00DC54A6">
            <w:pPr>
              <w:rPr>
                <w:u w:val="single"/>
              </w:rPr>
            </w:pPr>
            <w:r w:rsidRPr="00BA4215">
              <w:rPr>
                <w:u w:val="single"/>
              </w:rPr>
              <w:t>NA</w:t>
            </w:r>
          </w:p>
        </w:tc>
        <w:tc>
          <w:tcPr>
            <w:tcW w:w="1612" w:type="dxa"/>
          </w:tcPr>
          <w:p w:rsidR="0041313D" w:rsidRPr="00BA4215" w:rsidRDefault="0041313D" w:rsidP="00DC54A6">
            <w:pPr>
              <w:rPr>
                <w:u w:val="single"/>
              </w:rPr>
            </w:pPr>
            <w:r w:rsidRPr="00BA4215">
              <w:rPr>
                <w:u w:val="single"/>
              </w:rPr>
              <w:t>Fail</w:t>
            </w:r>
          </w:p>
        </w:tc>
        <w:tc>
          <w:tcPr>
            <w:tcW w:w="1502" w:type="dxa"/>
          </w:tcPr>
          <w:p w:rsidR="0041313D" w:rsidRPr="00BA4215" w:rsidRDefault="009505DD" w:rsidP="00DC54A6">
            <w:pPr>
              <w:rPr>
                <w:u w:val="single"/>
              </w:rPr>
            </w:pPr>
            <w:r>
              <w:rPr>
                <w:u w:val="single"/>
              </w:rPr>
              <w:t>0</w:t>
            </w:r>
          </w:p>
        </w:tc>
        <w:tc>
          <w:tcPr>
            <w:tcW w:w="1368" w:type="dxa"/>
            <w:vMerge w:val="restart"/>
            <w:vAlign w:val="bottom"/>
          </w:tcPr>
          <w:p w:rsidR="0041313D" w:rsidRPr="00BA4215" w:rsidRDefault="009505DD" w:rsidP="00DC54A6">
            <w:pPr>
              <w:rPr>
                <w:u w:val="single"/>
              </w:rPr>
            </w:pPr>
            <w:r>
              <w:rPr>
                <w:u w:val="single"/>
              </w:rPr>
              <w:t>18</w:t>
            </w:r>
          </w:p>
        </w:tc>
        <w:tc>
          <w:tcPr>
            <w:tcW w:w="1637" w:type="dxa"/>
            <w:vMerge w:val="restart"/>
            <w:vAlign w:val="bottom"/>
          </w:tcPr>
          <w:p w:rsidR="0041313D" w:rsidRPr="00BA4215" w:rsidRDefault="0041313D" w:rsidP="009505DD">
            <w:pPr>
              <w:rPr>
                <w:u w:val="single"/>
              </w:rPr>
            </w:pPr>
            <w:r w:rsidRPr="005E159E">
              <w:rPr>
                <w:u w:val="single"/>
              </w:rPr>
              <w:t>0.</w:t>
            </w:r>
            <w:r w:rsidR="009505DD">
              <w:rPr>
                <w:u w:val="single"/>
              </w:rPr>
              <w:t>3</w:t>
            </w:r>
            <w:r w:rsidRPr="005E159E">
              <w:rPr>
                <w:u w:val="single"/>
              </w:rPr>
              <w:t>%</w:t>
            </w:r>
          </w:p>
        </w:tc>
      </w:tr>
      <w:tr w:rsidR="0041313D" w:rsidRPr="00305642" w:rsidTr="00DC54A6">
        <w:tc>
          <w:tcPr>
            <w:tcW w:w="1845" w:type="dxa"/>
          </w:tcPr>
          <w:p w:rsidR="0041313D" w:rsidRPr="00BA4215" w:rsidRDefault="0041313D" w:rsidP="00DC54A6">
            <w:pPr>
              <w:rPr>
                <w:u w:val="single"/>
              </w:rPr>
            </w:pPr>
            <w:r w:rsidRPr="00BA4215">
              <w:rPr>
                <w:u w:val="single"/>
              </w:rPr>
              <w:t>Pass</w:t>
            </w:r>
          </w:p>
        </w:tc>
        <w:tc>
          <w:tcPr>
            <w:tcW w:w="1612" w:type="dxa"/>
          </w:tcPr>
          <w:p w:rsidR="0041313D" w:rsidRPr="00BA4215" w:rsidRDefault="0041313D" w:rsidP="00DC54A6">
            <w:pPr>
              <w:rPr>
                <w:u w:val="single"/>
              </w:rPr>
            </w:pPr>
            <w:r w:rsidRPr="00BA4215">
              <w:rPr>
                <w:u w:val="single"/>
              </w:rPr>
              <w:t>Pass</w:t>
            </w:r>
          </w:p>
        </w:tc>
        <w:tc>
          <w:tcPr>
            <w:tcW w:w="1612" w:type="dxa"/>
          </w:tcPr>
          <w:p w:rsidR="0041313D" w:rsidRPr="00BA4215" w:rsidRDefault="0041313D" w:rsidP="00DC54A6">
            <w:pPr>
              <w:rPr>
                <w:u w:val="single"/>
              </w:rPr>
            </w:pPr>
            <w:r w:rsidRPr="00BA4215">
              <w:rPr>
                <w:u w:val="single"/>
              </w:rPr>
              <w:t>Fail</w:t>
            </w:r>
          </w:p>
        </w:tc>
        <w:tc>
          <w:tcPr>
            <w:tcW w:w="1502" w:type="dxa"/>
          </w:tcPr>
          <w:p w:rsidR="0041313D" w:rsidRPr="00BA4215" w:rsidRDefault="0041313D" w:rsidP="00DC54A6">
            <w:pPr>
              <w:rPr>
                <w:u w:val="single"/>
              </w:rPr>
            </w:pPr>
            <w:r w:rsidRPr="00BA4215">
              <w:rPr>
                <w:u w:val="single"/>
              </w:rPr>
              <w:t>18</w:t>
            </w:r>
          </w:p>
        </w:tc>
        <w:tc>
          <w:tcPr>
            <w:tcW w:w="1368" w:type="dxa"/>
            <w:vMerge/>
          </w:tcPr>
          <w:p w:rsidR="0041313D" w:rsidRPr="00BA4215" w:rsidRDefault="0041313D" w:rsidP="00DC54A6">
            <w:pPr>
              <w:rPr>
                <w:u w:val="single"/>
              </w:rPr>
            </w:pPr>
          </w:p>
        </w:tc>
        <w:tc>
          <w:tcPr>
            <w:tcW w:w="1637" w:type="dxa"/>
            <w:vMerge/>
          </w:tcPr>
          <w:p w:rsidR="0041313D" w:rsidRPr="00BA4215" w:rsidRDefault="0041313D" w:rsidP="00DC54A6">
            <w:pPr>
              <w:rPr>
                <w:u w:val="single"/>
              </w:rPr>
            </w:pPr>
          </w:p>
        </w:tc>
      </w:tr>
      <w:tr w:rsidR="0041313D" w:rsidRPr="00305642" w:rsidTr="00DC54A6">
        <w:tc>
          <w:tcPr>
            <w:tcW w:w="7939" w:type="dxa"/>
            <w:gridSpan w:val="5"/>
            <w:shd w:val="clear" w:color="auto" w:fill="595959"/>
          </w:tcPr>
          <w:p w:rsidR="0041313D" w:rsidRPr="00BA4215" w:rsidRDefault="0041313D" w:rsidP="00DC54A6">
            <w:pPr>
              <w:rPr>
                <w:color w:val="FFFFFF"/>
                <w:u w:val="single"/>
              </w:rPr>
            </w:pPr>
            <w:r w:rsidRPr="00BA4215">
              <w:rPr>
                <w:color w:val="FFFFFF"/>
                <w:u w:val="single"/>
              </w:rPr>
              <w:t>Overall number of Audit Failures</w:t>
            </w:r>
          </w:p>
        </w:tc>
        <w:tc>
          <w:tcPr>
            <w:tcW w:w="1637" w:type="dxa"/>
            <w:shd w:val="clear" w:color="auto" w:fill="595959"/>
          </w:tcPr>
          <w:p w:rsidR="0041313D" w:rsidRPr="00BA4215" w:rsidRDefault="0041313D" w:rsidP="00DC54A6">
            <w:pPr>
              <w:rPr>
                <w:color w:val="FFFFFF"/>
                <w:u w:val="single"/>
              </w:rPr>
            </w:pPr>
          </w:p>
        </w:tc>
      </w:tr>
      <w:tr w:rsidR="0041313D" w:rsidRPr="00305642" w:rsidTr="00DC54A6">
        <w:tc>
          <w:tcPr>
            <w:tcW w:w="6571" w:type="dxa"/>
            <w:gridSpan w:val="4"/>
          </w:tcPr>
          <w:p w:rsidR="0041313D" w:rsidRPr="00BA4215" w:rsidRDefault="0041313D" w:rsidP="00DC54A6">
            <w:pPr>
              <w:jc w:val="right"/>
              <w:rPr>
                <w:u w:val="single"/>
              </w:rPr>
            </w:pPr>
            <w:r w:rsidRPr="00BA4215">
              <w:rPr>
                <w:u w:val="single"/>
              </w:rPr>
              <w:t>Total Fails</w:t>
            </w:r>
          </w:p>
        </w:tc>
        <w:tc>
          <w:tcPr>
            <w:tcW w:w="1368" w:type="dxa"/>
          </w:tcPr>
          <w:p w:rsidR="0041313D" w:rsidRPr="00BA4215" w:rsidRDefault="009505DD" w:rsidP="00DC54A6">
            <w:pPr>
              <w:rPr>
                <w:u w:val="single"/>
              </w:rPr>
            </w:pPr>
            <w:r>
              <w:rPr>
                <w:u w:val="single"/>
              </w:rPr>
              <w:t>18</w:t>
            </w:r>
          </w:p>
        </w:tc>
        <w:tc>
          <w:tcPr>
            <w:tcW w:w="1637" w:type="dxa"/>
          </w:tcPr>
          <w:p w:rsidR="0041313D" w:rsidRPr="00BA4215" w:rsidRDefault="0041313D" w:rsidP="009505DD">
            <w:pPr>
              <w:rPr>
                <w:u w:val="single"/>
              </w:rPr>
            </w:pPr>
            <w:r w:rsidRPr="00BA4215">
              <w:rPr>
                <w:u w:val="single"/>
              </w:rPr>
              <w:t>0.</w:t>
            </w:r>
            <w:r w:rsidR="009505DD">
              <w:rPr>
                <w:u w:val="single"/>
              </w:rPr>
              <w:t>3</w:t>
            </w:r>
            <w:r w:rsidRPr="00BA4215">
              <w:rPr>
                <w:u w:val="single"/>
              </w:rPr>
              <w:t>%</w:t>
            </w:r>
          </w:p>
        </w:tc>
      </w:tr>
    </w:tbl>
    <w:p w:rsidR="0041313D" w:rsidRDefault="0041313D" w:rsidP="0041313D">
      <w:pPr>
        <w:shd w:val="clear" w:color="auto" w:fill="FFFFFF"/>
      </w:pPr>
    </w:p>
    <w:p w:rsidR="0041313D" w:rsidRDefault="0041313D" w:rsidP="003018EE">
      <w:pPr>
        <w:pStyle w:val="BodyText"/>
        <w:shd w:val="clear" w:color="auto" w:fill="FFFFFF"/>
        <w:rPr>
          <w:highlight w:val="yellow"/>
          <w:u w:val="none"/>
        </w:rPr>
      </w:pPr>
    </w:p>
    <w:p w:rsidR="0041313D" w:rsidRDefault="0041313D" w:rsidP="003018EE">
      <w:pPr>
        <w:pStyle w:val="BodyText"/>
        <w:shd w:val="clear" w:color="auto" w:fill="FFFFFF"/>
        <w:rPr>
          <w:highlight w:val="yellow"/>
          <w:u w:val="none"/>
        </w:rPr>
      </w:pPr>
    </w:p>
    <w:p w:rsidR="0041313D" w:rsidRPr="007225C1" w:rsidRDefault="0041313D" w:rsidP="003018EE">
      <w:pPr>
        <w:pStyle w:val="BodyText"/>
        <w:shd w:val="clear" w:color="auto" w:fill="FFFFFF"/>
        <w:rPr>
          <w:highlight w:val="yellow"/>
          <w:u w:val="none"/>
        </w:rPr>
      </w:pPr>
    </w:p>
    <w:p w:rsidR="005B32FB" w:rsidRPr="00BE3E5C" w:rsidRDefault="005B32FB" w:rsidP="00F82439">
      <w:pPr>
        <w:pStyle w:val="BodyText"/>
        <w:shd w:val="clear" w:color="auto" w:fill="FFFFFF"/>
        <w:rPr>
          <w:u w:val="none"/>
        </w:rPr>
      </w:pPr>
    </w:p>
    <w:p w:rsidR="001F6840" w:rsidRPr="00BE3E5C" w:rsidRDefault="00E93E8A" w:rsidP="001F6840">
      <w:pPr>
        <w:shd w:val="clear" w:color="auto" w:fill="FFFFFF"/>
      </w:pPr>
      <w:r w:rsidRPr="00BE3E5C">
        <w:t>Workstations failed the visual cable and connector check on</w:t>
      </w:r>
      <w:r w:rsidR="00BB18FA">
        <w:t xml:space="preserve"> </w:t>
      </w:r>
      <w:r w:rsidR="009505DD">
        <w:t>eighteen audits</w:t>
      </w:r>
      <w:r w:rsidR="000664D6" w:rsidRPr="00BE3E5C">
        <w:t xml:space="preserve">.  </w:t>
      </w:r>
      <w:r w:rsidR="009505DD">
        <w:t>One</w:t>
      </w:r>
      <w:r w:rsidR="009505DD" w:rsidRPr="00BE3E5C">
        <w:t xml:space="preserve"> </w:t>
      </w:r>
      <w:r w:rsidR="00F5405A" w:rsidRPr="00BE3E5C">
        <w:t xml:space="preserve">of these </w:t>
      </w:r>
      <w:r w:rsidR="00D0583C" w:rsidRPr="00BE3E5C">
        <w:t xml:space="preserve">failing cable and connector </w:t>
      </w:r>
      <w:r w:rsidR="00F5405A" w:rsidRPr="00BE3E5C">
        <w:t>audits</w:t>
      </w:r>
      <w:r w:rsidR="00A41E77" w:rsidRPr="00BE3E5C">
        <w:t xml:space="preserve"> were conducted when the workstations </w:t>
      </w:r>
      <w:r w:rsidR="009505DD" w:rsidRPr="00BE3E5C">
        <w:t>w</w:t>
      </w:r>
      <w:r w:rsidR="009505DD">
        <w:t>as</w:t>
      </w:r>
      <w:r w:rsidR="009505DD" w:rsidRPr="00BE3E5C">
        <w:t xml:space="preserve"> </w:t>
      </w:r>
      <w:r w:rsidR="00A41E77" w:rsidRPr="00BE3E5C">
        <w:t>automatically locked out from performing OBD inspections</w:t>
      </w:r>
      <w:r w:rsidR="001F6840" w:rsidRPr="00BE3E5C">
        <w:t xml:space="preserve"> due to no prior OBD calibration within 24 hours</w:t>
      </w:r>
      <w:r w:rsidR="005A4347">
        <w:t>.</w:t>
      </w:r>
    </w:p>
    <w:p w:rsidR="0042102E" w:rsidRPr="00BE3E5C" w:rsidRDefault="0042102E" w:rsidP="00202278">
      <w:pPr>
        <w:shd w:val="clear" w:color="auto" w:fill="FFFFFF"/>
      </w:pPr>
    </w:p>
    <w:p w:rsidR="00E519BC" w:rsidRPr="00BE3E5C" w:rsidRDefault="00E519BC" w:rsidP="00E519BC">
      <w:pPr>
        <w:shd w:val="clear" w:color="auto" w:fill="FFFFFF"/>
      </w:pPr>
      <w:r w:rsidRPr="00BE3E5C">
        <w:t>Inspection stations are required to open service request tickets for all audit failures.  Field investigators continue to monitor the cable and connector conditions for all stations and issue station violations if the stations are unres</w:t>
      </w:r>
      <w:r w:rsidR="005A4347">
        <w:t>ponsive to repair requirements.</w:t>
      </w:r>
    </w:p>
    <w:p w:rsidR="00E519BC" w:rsidRPr="00BE3E5C" w:rsidRDefault="00E519BC" w:rsidP="00E519BC">
      <w:pPr>
        <w:shd w:val="clear" w:color="auto" w:fill="FFFFFF"/>
      </w:pPr>
    </w:p>
    <w:p w:rsidR="00BA4215" w:rsidRDefault="00E519BC" w:rsidP="00E519BC">
      <w:pPr>
        <w:shd w:val="clear" w:color="auto" w:fill="FFFFFF"/>
      </w:pPr>
      <w:r w:rsidRPr="00BE3E5C">
        <w:lastRenderedPageBreak/>
        <w:t xml:space="preserve">No workstations were manually shut down as a result of the equipment audit failures.  </w:t>
      </w:r>
      <w:r w:rsidR="00B34519">
        <w:t>One</w:t>
      </w:r>
      <w:r w:rsidR="00B34519" w:rsidRPr="00BE3E5C">
        <w:t xml:space="preserve"> </w:t>
      </w:r>
      <w:r w:rsidRPr="00BE3E5C">
        <w:t xml:space="preserve">workstation </w:t>
      </w:r>
      <w:r w:rsidR="00B34519" w:rsidRPr="00BE3E5C">
        <w:t>w</w:t>
      </w:r>
      <w:r w:rsidR="00B34519">
        <w:t>as</w:t>
      </w:r>
      <w:r w:rsidR="00B34519" w:rsidRPr="00BE3E5C">
        <w:t xml:space="preserve"> </w:t>
      </w:r>
      <w:r w:rsidRPr="00BE3E5C">
        <w:t xml:space="preserve">automatically locked out from performing inspections by the workstation software prior to the audits, preventing </w:t>
      </w:r>
      <w:r w:rsidR="00A4417C" w:rsidRPr="00BE3E5C">
        <w:t>inspections from occu</w:t>
      </w:r>
      <w:r w:rsidR="007A7CC4" w:rsidRPr="00BE3E5C">
        <w:t>r</w:t>
      </w:r>
      <w:r w:rsidR="00A4417C" w:rsidRPr="00BE3E5C">
        <w:t>ring with defective equipment</w:t>
      </w:r>
      <w:r w:rsidR="003C681A" w:rsidRPr="00BE3E5C">
        <w:t>.</w:t>
      </w:r>
      <w:bookmarkStart w:id="23" w:name="_Toc298776937"/>
      <w:bookmarkStart w:id="24" w:name="_Toc298776938"/>
      <w:bookmarkStart w:id="25" w:name="_Toc298776939"/>
      <w:bookmarkStart w:id="26" w:name="_Toc298776940"/>
      <w:bookmarkStart w:id="27" w:name="_Toc298776941"/>
      <w:bookmarkStart w:id="28" w:name="_Toc298776942"/>
      <w:bookmarkStart w:id="29" w:name="_Toc298776943"/>
      <w:bookmarkStart w:id="30" w:name="_Toc298776944"/>
      <w:bookmarkStart w:id="31" w:name="_Toc298776945"/>
      <w:bookmarkStart w:id="32" w:name="_Toc298776947"/>
      <w:bookmarkStart w:id="33" w:name="_Toc298776949"/>
      <w:bookmarkStart w:id="34" w:name="_Toc298776953"/>
      <w:bookmarkStart w:id="35" w:name="_Toc298776954"/>
      <w:bookmarkStart w:id="36" w:name="_Toc298776955"/>
      <w:bookmarkStart w:id="37" w:name="_Toc298776957"/>
      <w:bookmarkStart w:id="38" w:name="_Toc298776958"/>
      <w:bookmarkStart w:id="39" w:name="_Toc298776959"/>
      <w:bookmarkStart w:id="40" w:name="_Toc304279581"/>
      <w:bookmarkStart w:id="41" w:name="_Toc304279582"/>
      <w:bookmarkStart w:id="42" w:name="_Toc27241152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sectPr w:rsidR="00BA4215" w:rsidSect="00C91FCC">
      <w:headerReference w:type="default" r:id="rId9"/>
      <w:footerReference w:type="default" r:id="rId10"/>
      <w:pgSz w:w="12240" w:h="15840" w:code="207"/>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666" w:rsidRDefault="00951666">
      <w:r>
        <w:separator/>
      </w:r>
    </w:p>
  </w:endnote>
  <w:endnote w:type="continuationSeparator" w:id="0">
    <w:p w:rsidR="00951666" w:rsidRDefault="0095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FBC" w:rsidRDefault="00101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1FBC" w:rsidRDefault="00101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FBC" w:rsidRDefault="00101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651E">
      <w:rPr>
        <w:rStyle w:val="PageNumber"/>
        <w:noProof/>
      </w:rPr>
      <w:t>6</w:t>
    </w:r>
    <w:r>
      <w:rPr>
        <w:rStyle w:val="PageNumber"/>
      </w:rPr>
      <w:fldChar w:fldCharType="end"/>
    </w:r>
  </w:p>
  <w:p w:rsidR="00101FBC" w:rsidRDefault="00101FB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666" w:rsidRDefault="00951666">
      <w:r>
        <w:separator/>
      </w:r>
    </w:p>
  </w:footnote>
  <w:footnote w:type="continuationSeparator" w:id="0">
    <w:p w:rsidR="00951666" w:rsidRDefault="00951666">
      <w:r>
        <w:continuationSeparator/>
      </w:r>
    </w:p>
  </w:footnote>
  <w:footnote w:id="1">
    <w:p w:rsidR="00101FBC" w:rsidRDefault="00101FBC" w:rsidP="00F65470">
      <w:pPr>
        <w:pStyle w:val="FootnoteText"/>
      </w:pPr>
      <w:r>
        <w:rPr>
          <w:rStyle w:val="FootnoteReference"/>
        </w:rPr>
        <w:footnoteRef/>
      </w:r>
      <w:r>
        <w:t xml:space="preserve">  “</w:t>
      </w:r>
      <w:smartTag w:uri="urn:schemas-microsoft-com:office:smarttags" w:element="place">
        <w:smartTag w:uri="urn:schemas-microsoft-com:office:smarttags" w:element="country-region">
          <w:r>
            <w:t>U.S.</w:t>
          </w:r>
        </w:smartTag>
      </w:smartTag>
      <w:r>
        <w:t xml:space="preserve"> EPA Steady State and Transient Testing Equipment Audit Guidance,” July 2001 </w:t>
      </w:r>
    </w:p>
  </w:footnote>
  <w:footnote w:id="2">
    <w:p w:rsidR="00101FBC" w:rsidRPr="007C3DC8" w:rsidRDefault="00101FBC">
      <w:pPr>
        <w:pStyle w:val="FootnoteText"/>
      </w:pPr>
      <w:r>
        <w:rPr>
          <w:rStyle w:val="FootnoteReference"/>
        </w:rPr>
        <w:footnoteRef/>
      </w:r>
      <w:r>
        <w:t xml:space="preserve"> </w:t>
      </w:r>
      <w:r w:rsidRPr="007C3DC8">
        <w:t>Four of the ten simulator configurations return data for PCM ID 2.  The remaining six configurations return nulls.</w:t>
      </w:r>
    </w:p>
  </w:footnote>
  <w:footnote w:id="3">
    <w:p w:rsidR="00101FBC" w:rsidRDefault="00101FBC">
      <w:pPr>
        <w:pStyle w:val="FootnoteText"/>
      </w:pPr>
      <w:r w:rsidRPr="007C3DC8">
        <w:rPr>
          <w:rStyle w:val="FootnoteReference"/>
        </w:rPr>
        <w:footnoteRef/>
      </w:r>
      <w:r w:rsidRPr="007C3DC8">
        <w:t xml:space="preserve">  Four of the ten simulator configurations return data for PID Count 2.  The remaining six configurations return nulls.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FBC" w:rsidRDefault="00031D75">
    <w:pPr>
      <w:pStyle w:val="Header"/>
      <w:jc w:val="center"/>
      <w:rPr>
        <w:sz w:val="20"/>
      </w:rPr>
    </w:pPr>
    <w:r>
      <w:rPr>
        <w:sz w:val="20"/>
      </w:rPr>
      <w:t xml:space="preserve">2016 </w:t>
    </w:r>
    <w:r w:rsidR="00101FBC">
      <w:rPr>
        <w:sz w:val="20"/>
      </w:rPr>
      <w:t>Annual Report: Attachment D – Quality Control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0CC"/>
    <w:multiLevelType w:val="hybridMultilevel"/>
    <w:tmpl w:val="8D76657E"/>
    <w:lvl w:ilvl="0" w:tplc="04090001">
      <w:start w:val="1"/>
      <w:numFmt w:val="bullet"/>
      <w:lvlText w:val=""/>
      <w:lvlJc w:val="left"/>
      <w:pPr>
        <w:tabs>
          <w:tab w:val="num" w:pos="1080"/>
        </w:tabs>
        <w:ind w:left="1080" w:hanging="360"/>
      </w:pPr>
      <w:rPr>
        <w:rFonts w:ascii="Symbol" w:hAnsi="Symbol" w:hint="default"/>
      </w:rPr>
    </w:lvl>
    <w:lvl w:ilvl="1" w:tplc="A3A22DFA">
      <w:start w:val="1"/>
      <w:numFmt w:val="bullet"/>
      <w:lvlText w:val=""/>
      <w:lvlJc w:val="left"/>
      <w:pPr>
        <w:tabs>
          <w:tab w:val="num" w:pos="360"/>
        </w:tabs>
        <w:ind w:left="360" w:hanging="360"/>
      </w:pPr>
      <w:rPr>
        <w:rFonts w:ascii="Symbol" w:hAnsi="Symbol" w:hint="default"/>
      </w:rPr>
    </w:lvl>
    <w:lvl w:ilvl="2" w:tplc="FF1ED0D0">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E51963"/>
    <w:multiLevelType w:val="multilevel"/>
    <w:tmpl w:val="3A1A4542"/>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432"/>
        </w:tabs>
        <w:ind w:left="432" w:hanging="432"/>
      </w:pPr>
      <w:rPr>
        <w:rFonts w:ascii="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numFmt w:val="none"/>
      <w:lvlText w:val=""/>
      <w:lvlJc w:val="left"/>
      <w:pPr>
        <w:tabs>
          <w:tab w:val="num" w:pos="360"/>
        </w:tabs>
      </w:pPr>
    </w:lvl>
    <w:lvl w:ilvl="8">
      <w:start w:val="1"/>
      <w:numFmt w:val="lowerRoman"/>
      <w:lvlText w:val="%9."/>
      <w:lvlJc w:val="left"/>
      <w:pPr>
        <w:tabs>
          <w:tab w:val="num" w:pos="3240"/>
        </w:tabs>
        <w:ind w:left="3240" w:hanging="360"/>
      </w:pPr>
      <w:rPr>
        <w:rFonts w:hint="default"/>
      </w:rPr>
    </w:lvl>
  </w:abstractNum>
  <w:abstractNum w:abstractNumId="2" w15:restartNumberingAfterBreak="0">
    <w:nsid w:val="098D1961"/>
    <w:multiLevelType w:val="hybridMultilevel"/>
    <w:tmpl w:val="9B2C5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E0E7B"/>
    <w:multiLevelType w:val="hybridMultilevel"/>
    <w:tmpl w:val="B0B0D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E53F8"/>
    <w:multiLevelType w:val="hybridMultilevel"/>
    <w:tmpl w:val="396C3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67E37"/>
    <w:multiLevelType w:val="hybridMultilevel"/>
    <w:tmpl w:val="9A24D530"/>
    <w:lvl w:ilvl="0" w:tplc="30F829F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32E45"/>
    <w:multiLevelType w:val="hybridMultilevel"/>
    <w:tmpl w:val="89F613E0"/>
    <w:lvl w:ilvl="0" w:tplc="9C10B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E2A02"/>
    <w:multiLevelType w:val="hybridMultilevel"/>
    <w:tmpl w:val="B6848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647CED"/>
    <w:multiLevelType w:val="hybridMultilevel"/>
    <w:tmpl w:val="E9DE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A78B5"/>
    <w:multiLevelType w:val="hybridMultilevel"/>
    <w:tmpl w:val="211232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1E77F69"/>
    <w:multiLevelType w:val="hybridMultilevel"/>
    <w:tmpl w:val="4F26C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FA293C"/>
    <w:multiLevelType w:val="hybridMultilevel"/>
    <w:tmpl w:val="CED8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D6D70"/>
    <w:multiLevelType w:val="multilevel"/>
    <w:tmpl w:val="F2BA585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612"/>
        </w:tabs>
        <w:ind w:left="612" w:hanging="432"/>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numFmt w:val="none"/>
      <w:lvlText w:val=""/>
      <w:lvlJc w:val="left"/>
      <w:pPr>
        <w:tabs>
          <w:tab w:val="num" w:pos="360"/>
        </w:tabs>
      </w:pPr>
    </w:lvl>
    <w:lvl w:ilvl="8">
      <w:start w:val="1"/>
      <w:numFmt w:val="lowerRoman"/>
      <w:lvlText w:val="%9."/>
      <w:lvlJc w:val="left"/>
      <w:pPr>
        <w:tabs>
          <w:tab w:val="num" w:pos="3240"/>
        </w:tabs>
        <w:ind w:left="3240" w:hanging="360"/>
      </w:pPr>
      <w:rPr>
        <w:rFonts w:hint="default"/>
      </w:rPr>
    </w:lvl>
  </w:abstractNum>
  <w:abstractNum w:abstractNumId="13" w15:restartNumberingAfterBreak="0">
    <w:nsid w:val="5CF44DB4"/>
    <w:multiLevelType w:val="hybridMultilevel"/>
    <w:tmpl w:val="6756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13D01"/>
    <w:multiLevelType w:val="hybridMultilevel"/>
    <w:tmpl w:val="37D41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C11D8"/>
    <w:multiLevelType w:val="hybridMultilevel"/>
    <w:tmpl w:val="E4BC936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657875B3"/>
    <w:multiLevelType w:val="hybridMultilevel"/>
    <w:tmpl w:val="0AA243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FC7772"/>
    <w:multiLevelType w:val="hybridMultilevel"/>
    <w:tmpl w:val="3A7A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6B4062"/>
    <w:multiLevelType w:val="hybridMultilevel"/>
    <w:tmpl w:val="69D2F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BA75CA"/>
    <w:multiLevelType w:val="hybridMultilevel"/>
    <w:tmpl w:val="0BB0AC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D79DF"/>
    <w:multiLevelType w:val="hybridMultilevel"/>
    <w:tmpl w:val="77D0D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0"/>
  </w:num>
  <w:num w:numId="6">
    <w:abstractNumId w:val="18"/>
  </w:num>
  <w:num w:numId="7">
    <w:abstractNumId w:val="1"/>
  </w:num>
  <w:num w:numId="8">
    <w:abstractNumId w:val="1"/>
  </w:num>
  <w:num w:numId="9">
    <w:abstractNumId w:val="1"/>
  </w:num>
  <w:num w:numId="10">
    <w:abstractNumId w:val="1"/>
  </w:num>
  <w:num w:numId="11">
    <w:abstractNumId w:val="10"/>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2"/>
  </w:num>
  <w:num w:numId="23">
    <w:abstractNumId w:val="1"/>
  </w:num>
  <w:num w:numId="24">
    <w:abstractNumId w:val="1"/>
  </w:num>
  <w:num w:numId="25">
    <w:abstractNumId w:val="1"/>
  </w:num>
  <w:num w:numId="26">
    <w:abstractNumId w:val="20"/>
  </w:num>
  <w:num w:numId="27">
    <w:abstractNumId w:val="14"/>
  </w:num>
  <w:num w:numId="28">
    <w:abstractNumId w:val="16"/>
  </w:num>
  <w:num w:numId="29">
    <w:abstractNumId w:val="3"/>
  </w:num>
  <w:num w:numId="30">
    <w:abstractNumId w:val="2"/>
  </w:num>
  <w:num w:numId="31">
    <w:abstractNumId w:val="8"/>
  </w:num>
  <w:num w:numId="32">
    <w:abstractNumId w:val="15"/>
  </w:num>
  <w:num w:numId="33">
    <w:abstractNumId w:val="6"/>
  </w:num>
  <w:num w:numId="34">
    <w:abstractNumId w:val="19"/>
  </w:num>
  <w:num w:numId="35">
    <w:abstractNumId w:val="1"/>
  </w:num>
  <w:num w:numId="36">
    <w:abstractNumId w:val="1"/>
  </w:num>
  <w:num w:numId="37">
    <w:abstractNumId w:val="1"/>
  </w:num>
  <w:num w:numId="38">
    <w:abstractNumId w:val="13"/>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7"/>
  </w:num>
  <w:num w:numId="47">
    <w:abstractNumId w:val="11"/>
  </w:num>
  <w:num w:numId="48">
    <w:abstractNumId w:val="1"/>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93"/>
    <w:rsid w:val="000009CD"/>
    <w:rsid w:val="00002CA0"/>
    <w:rsid w:val="000030EB"/>
    <w:rsid w:val="0000398D"/>
    <w:rsid w:val="00003DE6"/>
    <w:rsid w:val="0000708A"/>
    <w:rsid w:val="00007962"/>
    <w:rsid w:val="00022066"/>
    <w:rsid w:val="00027973"/>
    <w:rsid w:val="00031403"/>
    <w:rsid w:val="00031954"/>
    <w:rsid w:val="00031D75"/>
    <w:rsid w:val="00033801"/>
    <w:rsid w:val="00034F02"/>
    <w:rsid w:val="00035AD7"/>
    <w:rsid w:val="00036AE9"/>
    <w:rsid w:val="00037001"/>
    <w:rsid w:val="00043BA2"/>
    <w:rsid w:val="00043C22"/>
    <w:rsid w:val="0004484E"/>
    <w:rsid w:val="00047C13"/>
    <w:rsid w:val="00051DCC"/>
    <w:rsid w:val="000561C8"/>
    <w:rsid w:val="000568A5"/>
    <w:rsid w:val="00056F58"/>
    <w:rsid w:val="00057177"/>
    <w:rsid w:val="0006186C"/>
    <w:rsid w:val="00061AD5"/>
    <w:rsid w:val="00065687"/>
    <w:rsid w:val="000664D6"/>
    <w:rsid w:val="00066D39"/>
    <w:rsid w:val="00066F97"/>
    <w:rsid w:val="000701EF"/>
    <w:rsid w:val="00072E19"/>
    <w:rsid w:val="000736C8"/>
    <w:rsid w:val="000739B8"/>
    <w:rsid w:val="00075545"/>
    <w:rsid w:val="00076AF0"/>
    <w:rsid w:val="00080952"/>
    <w:rsid w:val="00081692"/>
    <w:rsid w:val="0008256A"/>
    <w:rsid w:val="00085812"/>
    <w:rsid w:val="000858AA"/>
    <w:rsid w:val="00087234"/>
    <w:rsid w:val="00087FF1"/>
    <w:rsid w:val="0009105F"/>
    <w:rsid w:val="00093411"/>
    <w:rsid w:val="0009447C"/>
    <w:rsid w:val="00095D0E"/>
    <w:rsid w:val="00096E8A"/>
    <w:rsid w:val="0009740C"/>
    <w:rsid w:val="00097E0D"/>
    <w:rsid w:val="000A0197"/>
    <w:rsid w:val="000A1B19"/>
    <w:rsid w:val="000A3043"/>
    <w:rsid w:val="000A5C78"/>
    <w:rsid w:val="000A5E5A"/>
    <w:rsid w:val="000A5E8E"/>
    <w:rsid w:val="000A656A"/>
    <w:rsid w:val="000A6A74"/>
    <w:rsid w:val="000A6C34"/>
    <w:rsid w:val="000B0892"/>
    <w:rsid w:val="000B234E"/>
    <w:rsid w:val="000B3A19"/>
    <w:rsid w:val="000B6412"/>
    <w:rsid w:val="000B664B"/>
    <w:rsid w:val="000B6CDB"/>
    <w:rsid w:val="000B6D67"/>
    <w:rsid w:val="000C0282"/>
    <w:rsid w:val="000C236E"/>
    <w:rsid w:val="000C2903"/>
    <w:rsid w:val="000C5FDE"/>
    <w:rsid w:val="000C79E1"/>
    <w:rsid w:val="000D42C8"/>
    <w:rsid w:val="000D42C9"/>
    <w:rsid w:val="000D6AFD"/>
    <w:rsid w:val="000E3F27"/>
    <w:rsid w:val="000E567A"/>
    <w:rsid w:val="000E5733"/>
    <w:rsid w:val="000E5B1B"/>
    <w:rsid w:val="000E609F"/>
    <w:rsid w:val="000E670D"/>
    <w:rsid w:val="000F0F19"/>
    <w:rsid w:val="000F2C55"/>
    <w:rsid w:val="000F4764"/>
    <w:rsid w:val="000F6BCF"/>
    <w:rsid w:val="001013CF"/>
    <w:rsid w:val="00101FBC"/>
    <w:rsid w:val="001104EC"/>
    <w:rsid w:val="00110C5D"/>
    <w:rsid w:val="001113DE"/>
    <w:rsid w:val="00111CAD"/>
    <w:rsid w:val="00114F5E"/>
    <w:rsid w:val="00115EBF"/>
    <w:rsid w:val="00116A69"/>
    <w:rsid w:val="00117D58"/>
    <w:rsid w:val="00122DA8"/>
    <w:rsid w:val="00122DED"/>
    <w:rsid w:val="0012556B"/>
    <w:rsid w:val="001255A3"/>
    <w:rsid w:val="00130601"/>
    <w:rsid w:val="00130E80"/>
    <w:rsid w:val="00135295"/>
    <w:rsid w:val="00136FB2"/>
    <w:rsid w:val="00140527"/>
    <w:rsid w:val="0014247A"/>
    <w:rsid w:val="001431BC"/>
    <w:rsid w:val="00144FD7"/>
    <w:rsid w:val="001459DD"/>
    <w:rsid w:val="001466F2"/>
    <w:rsid w:val="00146C4A"/>
    <w:rsid w:val="00146F00"/>
    <w:rsid w:val="00151253"/>
    <w:rsid w:val="00157AD7"/>
    <w:rsid w:val="0016266B"/>
    <w:rsid w:val="00162CAF"/>
    <w:rsid w:val="00164F7D"/>
    <w:rsid w:val="00166AFD"/>
    <w:rsid w:val="00167852"/>
    <w:rsid w:val="00174960"/>
    <w:rsid w:val="00174A89"/>
    <w:rsid w:val="00174B01"/>
    <w:rsid w:val="00175654"/>
    <w:rsid w:val="0017611F"/>
    <w:rsid w:val="001762EC"/>
    <w:rsid w:val="00176E11"/>
    <w:rsid w:val="001805AF"/>
    <w:rsid w:val="0018178D"/>
    <w:rsid w:val="00184C70"/>
    <w:rsid w:val="0018562F"/>
    <w:rsid w:val="0018769D"/>
    <w:rsid w:val="0019343F"/>
    <w:rsid w:val="00193C49"/>
    <w:rsid w:val="00196781"/>
    <w:rsid w:val="001A12D4"/>
    <w:rsid w:val="001A13EC"/>
    <w:rsid w:val="001A3CEF"/>
    <w:rsid w:val="001A5E68"/>
    <w:rsid w:val="001A7039"/>
    <w:rsid w:val="001A7749"/>
    <w:rsid w:val="001B23CB"/>
    <w:rsid w:val="001B5386"/>
    <w:rsid w:val="001B7581"/>
    <w:rsid w:val="001C13AF"/>
    <w:rsid w:val="001C1CE8"/>
    <w:rsid w:val="001D03AF"/>
    <w:rsid w:val="001D1E9D"/>
    <w:rsid w:val="001D2F2A"/>
    <w:rsid w:val="001D5607"/>
    <w:rsid w:val="001D7250"/>
    <w:rsid w:val="001D7917"/>
    <w:rsid w:val="001E0D7C"/>
    <w:rsid w:val="001E0DA0"/>
    <w:rsid w:val="001E1CA4"/>
    <w:rsid w:val="001E2F21"/>
    <w:rsid w:val="001E632E"/>
    <w:rsid w:val="001E6E26"/>
    <w:rsid w:val="001E6E33"/>
    <w:rsid w:val="001F0068"/>
    <w:rsid w:val="001F082E"/>
    <w:rsid w:val="001F278B"/>
    <w:rsid w:val="001F2897"/>
    <w:rsid w:val="001F6840"/>
    <w:rsid w:val="00200831"/>
    <w:rsid w:val="00202278"/>
    <w:rsid w:val="00205D9D"/>
    <w:rsid w:val="002068C7"/>
    <w:rsid w:val="00206BAC"/>
    <w:rsid w:val="002107C3"/>
    <w:rsid w:val="0021109B"/>
    <w:rsid w:val="002113D5"/>
    <w:rsid w:val="00212F2C"/>
    <w:rsid w:val="00214842"/>
    <w:rsid w:val="00216371"/>
    <w:rsid w:val="002174F2"/>
    <w:rsid w:val="0022017E"/>
    <w:rsid w:val="00222123"/>
    <w:rsid w:val="00222ADE"/>
    <w:rsid w:val="00223235"/>
    <w:rsid w:val="002324FE"/>
    <w:rsid w:val="0023486D"/>
    <w:rsid w:val="002362A8"/>
    <w:rsid w:val="0023739C"/>
    <w:rsid w:val="0024083A"/>
    <w:rsid w:val="00244F26"/>
    <w:rsid w:val="00245612"/>
    <w:rsid w:val="00251433"/>
    <w:rsid w:val="002516FE"/>
    <w:rsid w:val="00254D50"/>
    <w:rsid w:val="00254D6D"/>
    <w:rsid w:val="00255B05"/>
    <w:rsid w:val="00255F73"/>
    <w:rsid w:val="00255F97"/>
    <w:rsid w:val="00256D3B"/>
    <w:rsid w:val="002578E7"/>
    <w:rsid w:val="00257EED"/>
    <w:rsid w:val="00261C2B"/>
    <w:rsid w:val="00263208"/>
    <w:rsid w:val="002662D8"/>
    <w:rsid w:val="00266334"/>
    <w:rsid w:val="00270EAE"/>
    <w:rsid w:val="00272C63"/>
    <w:rsid w:val="00274E38"/>
    <w:rsid w:val="00275AB6"/>
    <w:rsid w:val="0027704E"/>
    <w:rsid w:val="0028184D"/>
    <w:rsid w:val="002820BC"/>
    <w:rsid w:val="00282306"/>
    <w:rsid w:val="00284912"/>
    <w:rsid w:val="002865E3"/>
    <w:rsid w:val="0028716E"/>
    <w:rsid w:val="00287802"/>
    <w:rsid w:val="002901DD"/>
    <w:rsid w:val="002921EF"/>
    <w:rsid w:val="00296AD6"/>
    <w:rsid w:val="002A0166"/>
    <w:rsid w:val="002A561D"/>
    <w:rsid w:val="002B1067"/>
    <w:rsid w:val="002B1BFA"/>
    <w:rsid w:val="002B2093"/>
    <w:rsid w:val="002B405F"/>
    <w:rsid w:val="002B62FE"/>
    <w:rsid w:val="002B7D2F"/>
    <w:rsid w:val="002C0149"/>
    <w:rsid w:val="002C1171"/>
    <w:rsid w:val="002C356B"/>
    <w:rsid w:val="002C39CC"/>
    <w:rsid w:val="002D0563"/>
    <w:rsid w:val="002D0A6C"/>
    <w:rsid w:val="002D2409"/>
    <w:rsid w:val="002D2B81"/>
    <w:rsid w:val="002D3216"/>
    <w:rsid w:val="002D4137"/>
    <w:rsid w:val="002D4880"/>
    <w:rsid w:val="002D500D"/>
    <w:rsid w:val="002E1A73"/>
    <w:rsid w:val="002E30A7"/>
    <w:rsid w:val="002E49D8"/>
    <w:rsid w:val="002E6037"/>
    <w:rsid w:val="002E70BF"/>
    <w:rsid w:val="002F47E6"/>
    <w:rsid w:val="003017AD"/>
    <w:rsid w:val="003018EE"/>
    <w:rsid w:val="00301AD1"/>
    <w:rsid w:val="003049A5"/>
    <w:rsid w:val="00304A35"/>
    <w:rsid w:val="00307B79"/>
    <w:rsid w:val="00310942"/>
    <w:rsid w:val="003113C0"/>
    <w:rsid w:val="003113F6"/>
    <w:rsid w:val="00320920"/>
    <w:rsid w:val="00321CC7"/>
    <w:rsid w:val="00322082"/>
    <w:rsid w:val="003228B2"/>
    <w:rsid w:val="00322E66"/>
    <w:rsid w:val="00324362"/>
    <w:rsid w:val="00326A26"/>
    <w:rsid w:val="0032738D"/>
    <w:rsid w:val="00331B7A"/>
    <w:rsid w:val="00332808"/>
    <w:rsid w:val="00335033"/>
    <w:rsid w:val="00336F86"/>
    <w:rsid w:val="00337256"/>
    <w:rsid w:val="003372BD"/>
    <w:rsid w:val="00342A31"/>
    <w:rsid w:val="003432E5"/>
    <w:rsid w:val="003439F3"/>
    <w:rsid w:val="00343F7F"/>
    <w:rsid w:val="0034412C"/>
    <w:rsid w:val="00344540"/>
    <w:rsid w:val="00346674"/>
    <w:rsid w:val="00346A41"/>
    <w:rsid w:val="00346C92"/>
    <w:rsid w:val="00351BBC"/>
    <w:rsid w:val="003530B4"/>
    <w:rsid w:val="00354ABD"/>
    <w:rsid w:val="00362545"/>
    <w:rsid w:val="0036257A"/>
    <w:rsid w:val="00362F4C"/>
    <w:rsid w:val="003631C3"/>
    <w:rsid w:val="00363A7E"/>
    <w:rsid w:val="0036503A"/>
    <w:rsid w:val="00365B5B"/>
    <w:rsid w:val="003702CF"/>
    <w:rsid w:val="00372134"/>
    <w:rsid w:val="003734F5"/>
    <w:rsid w:val="00374517"/>
    <w:rsid w:val="00374C7C"/>
    <w:rsid w:val="00375A93"/>
    <w:rsid w:val="00376076"/>
    <w:rsid w:val="003779A3"/>
    <w:rsid w:val="003818A0"/>
    <w:rsid w:val="00382AEE"/>
    <w:rsid w:val="003845E5"/>
    <w:rsid w:val="003877B3"/>
    <w:rsid w:val="003914ED"/>
    <w:rsid w:val="003916D2"/>
    <w:rsid w:val="00394259"/>
    <w:rsid w:val="003946AA"/>
    <w:rsid w:val="003962E0"/>
    <w:rsid w:val="00397E43"/>
    <w:rsid w:val="003A1C00"/>
    <w:rsid w:val="003A1CA5"/>
    <w:rsid w:val="003A25C6"/>
    <w:rsid w:val="003A3288"/>
    <w:rsid w:val="003A4A00"/>
    <w:rsid w:val="003B0A76"/>
    <w:rsid w:val="003B105D"/>
    <w:rsid w:val="003B506B"/>
    <w:rsid w:val="003B5C32"/>
    <w:rsid w:val="003C0864"/>
    <w:rsid w:val="003C20AB"/>
    <w:rsid w:val="003C681A"/>
    <w:rsid w:val="003C6919"/>
    <w:rsid w:val="003D1A8B"/>
    <w:rsid w:val="003D4A80"/>
    <w:rsid w:val="003D7302"/>
    <w:rsid w:val="003E561E"/>
    <w:rsid w:val="003E5759"/>
    <w:rsid w:val="003E68E9"/>
    <w:rsid w:val="003E7304"/>
    <w:rsid w:val="003E7FC7"/>
    <w:rsid w:val="003F08F5"/>
    <w:rsid w:val="003F0C6E"/>
    <w:rsid w:val="003F141D"/>
    <w:rsid w:val="003F2E71"/>
    <w:rsid w:val="003F3E87"/>
    <w:rsid w:val="003F4CF6"/>
    <w:rsid w:val="003F5E9A"/>
    <w:rsid w:val="003F7FFE"/>
    <w:rsid w:val="0040194E"/>
    <w:rsid w:val="00401FAB"/>
    <w:rsid w:val="00402B1D"/>
    <w:rsid w:val="00403297"/>
    <w:rsid w:val="00403F08"/>
    <w:rsid w:val="00404821"/>
    <w:rsid w:val="0040544C"/>
    <w:rsid w:val="00405483"/>
    <w:rsid w:val="0040670A"/>
    <w:rsid w:val="00406E54"/>
    <w:rsid w:val="004112CA"/>
    <w:rsid w:val="004127F0"/>
    <w:rsid w:val="0041313D"/>
    <w:rsid w:val="0041458F"/>
    <w:rsid w:val="00414EC3"/>
    <w:rsid w:val="00414FF8"/>
    <w:rsid w:val="004178C6"/>
    <w:rsid w:val="00417D0A"/>
    <w:rsid w:val="0042102E"/>
    <w:rsid w:val="00423015"/>
    <w:rsid w:val="004234FC"/>
    <w:rsid w:val="004243EE"/>
    <w:rsid w:val="00426996"/>
    <w:rsid w:val="00427B77"/>
    <w:rsid w:val="004302A4"/>
    <w:rsid w:val="0043123E"/>
    <w:rsid w:val="004320BC"/>
    <w:rsid w:val="00433B61"/>
    <w:rsid w:val="00434AA0"/>
    <w:rsid w:val="00435767"/>
    <w:rsid w:val="00435E4F"/>
    <w:rsid w:val="004366EE"/>
    <w:rsid w:val="0043728D"/>
    <w:rsid w:val="004429C8"/>
    <w:rsid w:val="00443A7E"/>
    <w:rsid w:val="00444A07"/>
    <w:rsid w:val="00444BAF"/>
    <w:rsid w:val="00447B70"/>
    <w:rsid w:val="00450CA9"/>
    <w:rsid w:val="00451295"/>
    <w:rsid w:val="00456F19"/>
    <w:rsid w:val="00460BAB"/>
    <w:rsid w:val="00464550"/>
    <w:rsid w:val="00465015"/>
    <w:rsid w:val="00465711"/>
    <w:rsid w:val="00467167"/>
    <w:rsid w:val="004702F6"/>
    <w:rsid w:val="00470CA9"/>
    <w:rsid w:val="004712EB"/>
    <w:rsid w:val="004723E1"/>
    <w:rsid w:val="00472E8D"/>
    <w:rsid w:val="00473DCF"/>
    <w:rsid w:val="00475242"/>
    <w:rsid w:val="004800EE"/>
    <w:rsid w:val="00482F2F"/>
    <w:rsid w:val="00486DFD"/>
    <w:rsid w:val="00492070"/>
    <w:rsid w:val="00496A2A"/>
    <w:rsid w:val="004A2BAB"/>
    <w:rsid w:val="004A3EC7"/>
    <w:rsid w:val="004A45FF"/>
    <w:rsid w:val="004A474F"/>
    <w:rsid w:val="004A5C1F"/>
    <w:rsid w:val="004A6165"/>
    <w:rsid w:val="004B02DE"/>
    <w:rsid w:val="004B0A2A"/>
    <w:rsid w:val="004B14D1"/>
    <w:rsid w:val="004B1DB4"/>
    <w:rsid w:val="004B3887"/>
    <w:rsid w:val="004B40B7"/>
    <w:rsid w:val="004B44A7"/>
    <w:rsid w:val="004B4FC3"/>
    <w:rsid w:val="004C076F"/>
    <w:rsid w:val="004C0C25"/>
    <w:rsid w:val="004C186D"/>
    <w:rsid w:val="004C2CB2"/>
    <w:rsid w:val="004C351B"/>
    <w:rsid w:val="004C5F77"/>
    <w:rsid w:val="004D0BEB"/>
    <w:rsid w:val="004D1F88"/>
    <w:rsid w:val="004D214E"/>
    <w:rsid w:val="004D3770"/>
    <w:rsid w:val="004D3ACD"/>
    <w:rsid w:val="004D62E7"/>
    <w:rsid w:val="004D7F54"/>
    <w:rsid w:val="004E04FB"/>
    <w:rsid w:val="004E11F4"/>
    <w:rsid w:val="004E4CF8"/>
    <w:rsid w:val="004E566F"/>
    <w:rsid w:val="004E56FD"/>
    <w:rsid w:val="004E5E30"/>
    <w:rsid w:val="004E5EB5"/>
    <w:rsid w:val="004E6612"/>
    <w:rsid w:val="004F4B97"/>
    <w:rsid w:val="004F5302"/>
    <w:rsid w:val="004F56D3"/>
    <w:rsid w:val="004F56DF"/>
    <w:rsid w:val="004F5783"/>
    <w:rsid w:val="004F5AE5"/>
    <w:rsid w:val="004F6265"/>
    <w:rsid w:val="004F6449"/>
    <w:rsid w:val="004F6A3D"/>
    <w:rsid w:val="00500411"/>
    <w:rsid w:val="00500F2B"/>
    <w:rsid w:val="00501329"/>
    <w:rsid w:val="00504079"/>
    <w:rsid w:val="00505C9F"/>
    <w:rsid w:val="005077F9"/>
    <w:rsid w:val="00511519"/>
    <w:rsid w:val="00512945"/>
    <w:rsid w:val="00513CEE"/>
    <w:rsid w:val="005158ED"/>
    <w:rsid w:val="00516D42"/>
    <w:rsid w:val="0051713D"/>
    <w:rsid w:val="0052015B"/>
    <w:rsid w:val="00520A5D"/>
    <w:rsid w:val="00520A94"/>
    <w:rsid w:val="00521534"/>
    <w:rsid w:val="0052196E"/>
    <w:rsid w:val="00521E8E"/>
    <w:rsid w:val="00522461"/>
    <w:rsid w:val="005225B0"/>
    <w:rsid w:val="005240F4"/>
    <w:rsid w:val="00524BCF"/>
    <w:rsid w:val="00525AA9"/>
    <w:rsid w:val="00530440"/>
    <w:rsid w:val="00531384"/>
    <w:rsid w:val="00531569"/>
    <w:rsid w:val="00533122"/>
    <w:rsid w:val="00535A9F"/>
    <w:rsid w:val="005362A9"/>
    <w:rsid w:val="0053644B"/>
    <w:rsid w:val="00537FCF"/>
    <w:rsid w:val="00545B5F"/>
    <w:rsid w:val="0055401E"/>
    <w:rsid w:val="00555806"/>
    <w:rsid w:val="00555D8D"/>
    <w:rsid w:val="00556302"/>
    <w:rsid w:val="00560C67"/>
    <w:rsid w:val="00560CF3"/>
    <w:rsid w:val="00560E8F"/>
    <w:rsid w:val="00564850"/>
    <w:rsid w:val="0056509D"/>
    <w:rsid w:val="005711D3"/>
    <w:rsid w:val="00573D8C"/>
    <w:rsid w:val="00575CF5"/>
    <w:rsid w:val="00576192"/>
    <w:rsid w:val="00581D83"/>
    <w:rsid w:val="00583663"/>
    <w:rsid w:val="00587A16"/>
    <w:rsid w:val="005934F5"/>
    <w:rsid w:val="00595151"/>
    <w:rsid w:val="00595371"/>
    <w:rsid w:val="0059613A"/>
    <w:rsid w:val="00597585"/>
    <w:rsid w:val="005A39E6"/>
    <w:rsid w:val="005A42BC"/>
    <w:rsid w:val="005A4347"/>
    <w:rsid w:val="005B2A57"/>
    <w:rsid w:val="005B32FB"/>
    <w:rsid w:val="005B56DB"/>
    <w:rsid w:val="005B7C5B"/>
    <w:rsid w:val="005C24D6"/>
    <w:rsid w:val="005C522A"/>
    <w:rsid w:val="005C54A6"/>
    <w:rsid w:val="005C7FB0"/>
    <w:rsid w:val="005D0995"/>
    <w:rsid w:val="005D0D39"/>
    <w:rsid w:val="005D53F5"/>
    <w:rsid w:val="005E159E"/>
    <w:rsid w:val="005E2895"/>
    <w:rsid w:val="005E2988"/>
    <w:rsid w:val="005E406A"/>
    <w:rsid w:val="005E4843"/>
    <w:rsid w:val="005F150A"/>
    <w:rsid w:val="005F45A2"/>
    <w:rsid w:val="006001D0"/>
    <w:rsid w:val="00600AB1"/>
    <w:rsid w:val="00601A19"/>
    <w:rsid w:val="00602766"/>
    <w:rsid w:val="00604355"/>
    <w:rsid w:val="00604B19"/>
    <w:rsid w:val="00604B6D"/>
    <w:rsid w:val="00604DBC"/>
    <w:rsid w:val="00607363"/>
    <w:rsid w:val="00607A31"/>
    <w:rsid w:val="00610741"/>
    <w:rsid w:val="0061361B"/>
    <w:rsid w:val="00617840"/>
    <w:rsid w:val="006208DD"/>
    <w:rsid w:val="00620B3E"/>
    <w:rsid w:val="0062276C"/>
    <w:rsid w:val="00625B70"/>
    <w:rsid w:val="0062605D"/>
    <w:rsid w:val="0063078D"/>
    <w:rsid w:val="006324A0"/>
    <w:rsid w:val="006343C7"/>
    <w:rsid w:val="00635DF6"/>
    <w:rsid w:val="00636514"/>
    <w:rsid w:val="00640AED"/>
    <w:rsid w:val="006414CF"/>
    <w:rsid w:val="006414E5"/>
    <w:rsid w:val="006428E4"/>
    <w:rsid w:val="0064363A"/>
    <w:rsid w:val="006507F3"/>
    <w:rsid w:val="00650EE5"/>
    <w:rsid w:val="00651627"/>
    <w:rsid w:val="00652030"/>
    <w:rsid w:val="00653749"/>
    <w:rsid w:val="00653F39"/>
    <w:rsid w:val="00656D64"/>
    <w:rsid w:val="00663580"/>
    <w:rsid w:val="00665449"/>
    <w:rsid w:val="0066731C"/>
    <w:rsid w:val="00675082"/>
    <w:rsid w:val="006820D0"/>
    <w:rsid w:val="00685AD3"/>
    <w:rsid w:val="00685DD7"/>
    <w:rsid w:val="0068751B"/>
    <w:rsid w:val="006910EE"/>
    <w:rsid w:val="00691F44"/>
    <w:rsid w:val="0069237E"/>
    <w:rsid w:val="00692673"/>
    <w:rsid w:val="006943CD"/>
    <w:rsid w:val="00697405"/>
    <w:rsid w:val="006A15FB"/>
    <w:rsid w:val="006A18A8"/>
    <w:rsid w:val="006A46D6"/>
    <w:rsid w:val="006A5035"/>
    <w:rsid w:val="006A5B19"/>
    <w:rsid w:val="006A642C"/>
    <w:rsid w:val="006B0FED"/>
    <w:rsid w:val="006B16C7"/>
    <w:rsid w:val="006B2019"/>
    <w:rsid w:val="006B25EF"/>
    <w:rsid w:val="006B6F0D"/>
    <w:rsid w:val="006B773F"/>
    <w:rsid w:val="006C0941"/>
    <w:rsid w:val="006C0CE3"/>
    <w:rsid w:val="006C5354"/>
    <w:rsid w:val="006C6110"/>
    <w:rsid w:val="006C6E83"/>
    <w:rsid w:val="006D2A56"/>
    <w:rsid w:val="006D604A"/>
    <w:rsid w:val="006D6721"/>
    <w:rsid w:val="006D6942"/>
    <w:rsid w:val="006D7F76"/>
    <w:rsid w:val="006E05F3"/>
    <w:rsid w:val="006E0D71"/>
    <w:rsid w:val="006E15E4"/>
    <w:rsid w:val="006E25B5"/>
    <w:rsid w:val="006E7165"/>
    <w:rsid w:val="006E76E1"/>
    <w:rsid w:val="006E7CB3"/>
    <w:rsid w:val="006F0FB7"/>
    <w:rsid w:val="006F216E"/>
    <w:rsid w:val="006F23EA"/>
    <w:rsid w:val="006F4C12"/>
    <w:rsid w:val="006F6AD1"/>
    <w:rsid w:val="006F7817"/>
    <w:rsid w:val="007043C4"/>
    <w:rsid w:val="007048A0"/>
    <w:rsid w:val="0070684A"/>
    <w:rsid w:val="00707BC2"/>
    <w:rsid w:val="00712CF5"/>
    <w:rsid w:val="00712EB4"/>
    <w:rsid w:val="0071388E"/>
    <w:rsid w:val="00713DB4"/>
    <w:rsid w:val="00716176"/>
    <w:rsid w:val="00717EC2"/>
    <w:rsid w:val="00721728"/>
    <w:rsid w:val="007225C1"/>
    <w:rsid w:val="00723014"/>
    <w:rsid w:val="007277EE"/>
    <w:rsid w:val="00730488"/>
    <w:rsid w:val="00730C85"/>
    <w:rsid w:val="0073228A"/>
    <w:rsid w:val="00735858"/>
    <w:rsid w:val="00737302"/>
    <w:rsid w:val="0074154D"/>
    <w:rsid w:val="007418D8"/>
    <w:rsid w:val="007431D8"/>
    <w:rsid w:val="0074391D"/>
    <w:rsid w:val="00743D40"/>
    <w:rsid w:val="00744D9B"/>
    <w:rsid w:val="00750C0C"/>
    <w:rsid w:val="00753F2E"/>
    <w:rsid w:val="00756458"/>
    <w:rsid w:val="007568DB"/>
    <w:rsid w:val="00756BCA"/>
    <w:rsid w:val="007570B2"/>
    <w:rsid w:val="00757D45"/>
    <w:rsid w:val="00763AA0"/>
    <w:rsid w:val="0076577E"/>
    <w:rsid w:val="0076645F"/>
    <w:rsid w:val="00767275"/>
    <w:rsid w:val="00767F06"/>
    <w:rsid w:val="00767F9D"/>
    <w:rsid w:val="00770D5B"/>
    <w:rsid w:val="00772383"/>
    <w:rsid w:val="00773E5E"/>
    <w:rsid w:val="00775C55"/>
    <w:rsid w:val="00776241"/>
    <w:rsid w:val="007765DD"/>
    <w:rsid w:val="0077661B"/>
    <w:rsid w:val="00777161"/>
    <w:rsid w:val="00777632"/>
    <w:rsid w:val="007776ED"/>
    <w:rsid w:val="00783168"/>
    <w:rsid w:val="0078612C"/>
    <w:rsid w:val="00786C91"/>
    <w:rsid w:val="00790FF7"/>
    <w:rsid w:val="00792CD5"/>
    <w:rsid w:val="007935A4"/>
    <w:rsid w:val="007949C4"/>
    <w:rsid w:val="007A12C3"/>
    <w:rsid w:val="007A3BF5"/>
    <w:rsid w:val="007A53D5"/>
    <w:rsid w:val="007A7ABB"/>
    <w:rsid w:val="007A7CC4"/>
    <w:rsid w:val="007B214F"/>
    <w:rsid w:val="007B250A"/>
    <w:rsid w:val="007B4ED8"/>
    <w:rsid w:val="007B65BE"/>
    <w:rsid w:val="007B6DD8"/>
    <w:rsid w:val="007B7E51"/>
    <w:rsid w:val="007C013E"/>
    <w:rsid w:val="007C0444"/>
    <w:rsid w:val="007C0854"/>
    <w:rsid w:val="007C243F"/>
    <w:rsid w:val="007C3DC8"/>
    <w:rsid w:val="007C4730"/>
    <w:rsid w:val="007C47BD"/>
    <w:rsid w:val="007C753E"/>
    <w:rsid w:val="007C79F2"/>
    <w:rsid w:val="007D0173"/>
    <w:rsid w:val="007D5B3E"/>
    <w:rsid w:val="007D6CEB"/>
    <w:rsid w:val="007D7B02"/>
    <w:rsid w:val="007E397F"/>
    <w:rsid w:val="007E3BCE"/>
    <w:rsid w:val="007E462E"/>
    <w:rsid w:val="007E71E2"/>
    <w:rsid w:val="007F03C1"/>
    <w:rsid w:val="007F08B9"/>
    <w:rsid w:val="007F12E0"/>
    <w:rsid w:val="007F3AC9"/>
    <w:rsid w:val="007F56A0"/>
    <w:rsid w:val="007F6A2B"/>
    <w:rsid w:val="007F7648"/>
    <w:rsid w:val="007F7B57"/>
    <w:rsid w:val="007F7C2F"/>
    <w:rsid w:val="0080132F"/>
    <w:rsid w:val="00803C46"/>
    <w:rsid w:val="00805CF7"/>
    <w:rsid w:val="00806D21"/>
    <w:rsid w:val="00811ADE"/>
    <w:rsid w:val="00811AF5"/>
    <w:rsid w:val="00813E97"/>
    <w:rsid w:val="008140C1"/>
    <w:rsid w:val="00814457"/>
    <w:rsid w:val="008152B3"/>
    <w:rsid w:val="00817FAD"/>
    <w:rsid w:val="00822B01"/>
    <w:rsid w:val="00822D6D"/>
    <w:rsid w:val="00822FA3"/>
    <w:rsid w:val="00823801"/>
    <w:rsid w:val="00827E17"/>
    <w:rsid w:val="00831C82"/>
    <w:rsid w:val="0083502B"/>
    <w:rsid w:val="00835CAA"/>
    <w:rsid w:val="00836AEB"/>
    <w:rsid w:val="00837DC4"/>
    <w:rsid w:val="0084068D"/>
    <w:rsid w:val="00840702"/>
    <w:rsid w:val="00842054"/>
    <w:rsid w:val="00842F7F"/>
    <w:rsid w:val="00843F5C"/>
    <w:rsid w:val="00845891"/>
    <w:rsid w:val="008471B9"/>
    <w:rsid w:val="008509D3"/>
    <w:rsid w:val="0085136B"/>
    <w:rsid w:val="0085239C"/>
    <w:rsid w:val="00852BFA"/>
    <w:rsid w:val="00853000"/>
    <w:rsid w:val="008560C3"/>
    <w:rsid w:val="00860617"/>
    <w:rsid w:val="00860B8B"/>
    <w:rsid w:val="00861CED"/>
    <w:rsid w:val="00862E57"/>
    <w:rsid w:val="008646B1"/>
    <w:rsid w:val="008713B0"/>
    <w:rsid w:val="00872E50"/>
    <w:rsid w:val="00875A21"/>
    <w:rsid w:val="00875A37"/>
    <w:rsid w:val="0087684C"/>
    <w:rsid w:val="0087741E"/>
    <w:rsid w:val="00877E17"/>
    <w:rsid w:val="00877E86"/>
    <w:rsid w:val="008802F7"/>
    <w:rsid w:val="008826F8"/>
    <w:rsid w:val="00882819"/>
    <w:rsid w:val="008843CB"/>
    <w:rsid w:val="00885A38"/>
    <w:rsid w:val="00894006"/>
    <w:rsid w:val="00896D96"/>
    <w:rsid w:val="008A12A7"/>
    <w:rsid w:val="008A1356"/>
    <w:rsid w:val="008A151A"/>
    <w:rsid w:val="008A1891"/>
    <w:rsid w:val="008A651E"/>
    <w:rsid w:val="008A7580"/>
    <w:rsid w:val="008A7F2D"/>
    <w:rsid w:val="008B150D"/>
    <w:rsid w:val="008B58A9"/>
    <w:rsid w:val="008B6310"/>
    <w:rsid w:val="008C0FC1"/>
    <w:rsid w:val="008C150C"/>
    <w:rsid w:val="008C1981"/>
    <w:rsid w:val="008C7E9C"/>
    <w:rsid w:val="008D0F4B"/>
    <w:rsid w:val="008D685C"/>
    <w:rsid w:val="008D6DDC"/>
    <w:rsid w:val="008D73D6"/>
    <w:rsid w:val="008E0F87"/>
    <w:rsid w:val="008E1D3F"/>
    <w:rsid w:val="008E44E6"/>
    <w:rsid w:val="008E5BFC"/>
    <w:rsid w:val="008F2B10"/>
    <w:rsid w:val="008F2CAD"/>
    <w:rsid w:val="008F4286"/>
    <w:rsid w:val="008F4CC4"/>
    <w:rsid w:val="008F4DF6"/>
    <w:rsid w:val="008F4F71"/>
    <w:rsid w:val="008F6D35"/>
    <w:rsid w:val="008F720D"/>
    <w:rsid w:val="008F79FB"/>
    <w:rsid w:val="008F7DC7"/>
    <w:rsid w:val="00900274"/>
    <w:rsid w:val="00906D0E"/>
    <w:rsid w:val="00907719"/>
    <w:rsid w:val="00912870"/>
    <w:rsid w:val="00912944"/>
    <w:rsid w:val="00912C6D"/>
    <w:rsid w:val="0091327C"/>
    <w:rsid w:val="0091433D"/>
    <w:rsid w:val="0091502D"/>
    <w:rsid w:val="009150A3"/>
    <w:rsid w:val="0091513A"/>
    <w:rsid w:val="00916532"/>
    <w:rsid w:val="00923084"/>
    <w:rsid w:val="009232EF"/>
    <w:rsid w:val="0092551B"/>
    <w:rsid w:val="009259FB"/>
    <w:rsid w:val="00925C6E"/>
    <w:rsid w:val="009260CA"/>
    <w:rsid w:val="0092648A"/>
    <w:rsid w:val="00930330"/>
    <w:rsid w:val="009312FC"/>
    <w:rsid w:val="00932058"/>
    <w:rsid w:val="00933936"/>
    <w:rsid w:val="00933FD9"/>
    <w:rsid w:val="009359AE"/>
    <w:rsid w:val="0093733B"/>
    <w:rsid w:val="00937AA2"/>
    <w:rsid w:val="00940065"/>
    <w:rsid w:val="0094089C"/>
    <w:rsid w:val="009411B1"/>
    <w:rsid w:val="00941C6A"/>
    <w:rsid w:val="00943C5A"/>
    <w:rsid w:val="009447EF"/>
    <w:rsid w:val="00947236"/>
    <w:rsid w:val="00947247"/>
    <w:rsid w:val="009505DD"/>
    <w:rsid w:val="00951666"/>
    <w:rsid w:val="00952F22"/>
    <w:rsid w:val="00956DFA"/>
    <w:rsid w:val="009578A3"/>
    <w:rsid w:val="0096172F"/>
    <w:rsid w:val="00962690"/>
    <w:rsid w:val="00963B6A"/>
    <w:rsid w:val="00963DD0"/>
    <w:rsid w:val="00964CBB"/>
    <w:rsid w:val="00965C77"/>
    <w:rsid w:val="00966EF1"/>
    <w:rsid w:val="009748C6"/>
    <w:rsid w:val="0097542A"/>
    <w:rsid w:val="00977FF3"/>
    <w:rsid w:val="0098022C"/>
    <w:rsid w:val="009815EB"/>
    <w:rsid w:val="00984487"/>
    <w:rsid w:val="0098518C"/>
    <w:rsid w:val="00986018"/>
    <w:rsid w:val="00986476"/>
    <w:rsid w:val="009901CF"/>
    <w:rsid w:val="00990511"/>
    <w:rsid w:val="00991773"/>
    <w:rsid w:val="00992E67"/>
    <w:rsid w:val="00995ADF"/>
    <w:rsid w:val="00995BA4"/>
    <w:rsid w:val="009964E1"/>
    <w:rsid w:val="00996DB1"/>
    <w:rsid w:val="009A0E0A"/>
    <w:rsid w:val="009A223C"/>
    <w:rsid w:val="009A25ED"/>
    <w:rsid w:val="009A64A9"/>
    <w:rsid w:val="009A6A30"/>
    <w:rsid w:val="009A711E"/>
    <w:rsid w:val="009A7446"/>
    <w:rsid w:val="009B0044"/>
    <w:rsid w:val="009B007A"/>
    <w:rsid w:val="009B358C"/>
    <w:rsid w:val="009C08FE"/>
    <w:rsid w:val="009D087E"/>
    <w:rsid w:val="009D0F7A"/>
    <w:rsid w:val="009D1129"/>
    <w:rsid w:val="009D1DA2"/>
    <w:rsid w:val="009D36A0"/>
    <w:rsid w:val="009D56CA"/>
    <w:rsid w:val="009D65AC"/>
    <w:rsid w:val="009E1A07"/>
    <w:rsid w:val="009E2F01"/>
    <w:rsid w:val="009E3432"/>
    <w:rsid w:val="009E407D"/>
    <w:rsid w:val="009E43EB"/>
    <w:rsid w:val="009E5193"/>
    <w:rsid w:val="009E7C0B"/>
    <w:rsid w:val="009F0810"/>
    <w:rsid w:val="009F2C31"/>
    <w:rsid w:val="009F461F"/>
    <w:rsid w:val="009F4770"/>
    <w:rsid w:val="009F47C4"/>
    <w:rsid w:val="00A00C49"/>
    <w:rsid w:val="00A0219C"/>
    <w:rsid w:val="00A022A7"/>
    <w:rsid w:val="00A032F1"/>
    <w:rsid w:val="00A04962"/>
    <w:rsid w:val="00A069DB"/>
    <w:rsid w:val="00A06A33"/>
    <w:rsid w:val="00A07659"/>
    <w:rsid w:val="00A103B8"/>
    <w:rsid w:val="00A12580"/>
    <w:rsid w:val="00A129E6"/>
    <w:rsid w:val="00A13BBD"/>
    <w:rsid w:val="00A13EE4"/>
    <w:rsid w:val="00A15616"/>
    <w:rsid w:val="00A15D99"/>
    <w:rsid w:val="00A20A87"/>
    <w:rsid w:val="00A2154E"/>
    <w:rsid w:val="00A22315"/>
    <w:rsid w:val="00A22990"/>
    <w:rsid w:val="00A23900"/>
    <w:rsid w:val="00A25216"/>
    <w:rsid w:val="00A3016E"/>
    <w:rsid w:val="00A30A23"/>
    <w:rsid w:val="00A311A8"/>
    <w:rsid w:val="00A31DC8"/>
    <w:rsid w:val="00A327B4"/>
    <w:rsid w:val="00A343DB"/>
    <w:rsid w:val="00A3792A"/>
    <w:rsid w:val="00A37B9B"/>
    <w:rsid w:val="00A37CB2"/>
    <w:rsid w:val="00A37D10"/>
    <w:rsid w:val="00A37E1E"/>
    <w:rsid w:val="00A405A4"/>
    <w:rsid w:val="00A40CA6"/>
    <w:rsid w:val="00A41E77"/>
    <w:rsid w:val="00A41F6A"/>
    <w:rsid w:val="00A42716"/>
    <w:rsid w:val="00A4417C"/>
    <w:rsid w:val="00A510A8"/>
    <w:rsid w:val="00A51123"/>
    <w:rsid w:val="00A514FE"/>
    <w:rsid w:val="00A51518"/>
    <w:rsid w:val="00A54215"/>
    <w:rsid w:val="00A54628"/>
    <w:rsid w:val="00A55789"/>
    <w:rsid w:val="00A5591B"/>
    <w:rsid w:val="00A57FB6"/>
    <w:rsid w:val="00A62468"/>
    <w:rsid w:val="00A66CDF"/>
    <w:rsid w:val="00A67B99"/>
    <w:rsid w:val="00A71213"/>
    <w:rsid w:val="00A7545C"/>
    <w:rsid w:val="00A76DB5"/>
    <w:rsid w:val="00A810F7"/>
    <w:rsid w:val="00A8598B"/>
    <w:rsid w:val="00A941B8"/>
    <w:rsid w:val="00A94E10"/>
    <w:rsid w:val="00A9563F"/>
    <w:rsid w:val="00A957EC"/>
    <w:rsid w:val="00A9593A"/>
    <w:rsid w:val="00A970F3"/>
    <w:rsid w:val="00A9771D"/>
    <w:rsid w:val="00AA3496"/>
    <w:rsid w:val="00AA435B"/>
    <w:rsid w:val="00AA740A"/>
    <w:rsid w:val="00AB31BE"/>
    <w:rsid w:val="00AB3F58"/>
    <w:rsid w:val="00AB4717"/>
    <w:rsid w:val="00AB5AEF"/>
    <w:rsid w:val="00AB635F"/>
    <w:rsid w:val="00AB6C3B"/>
    <w:rsid w:val="00AB6DBE"/>
    <w:rsid w:val="00AB7EED"/>
    <w:rsid w:val="00AC2C94"/>
    <w:rsid w:val="00AC3A47"/>
    <w:rsid w:val="00AC466D"/>
    <w:rsid w:val="00AC661B"/>
    <w:rsid w:val="00AD0E37"/>
    <w:rsid w:val="00AD2930"/>
    <w:rsid w:val="00AD2E99"/>
    <w:rsid w:val="00AD4136"/>
    <w:rsid w:val="00AD42A6"/>
    <w:rsid w:val="00AD6090"/>
    <w:rsid w:val="00AE1FF1"/>
    <w:rsid w:val="00AE222F"/>
    <w:rsid w:val="00AE36C9"/>
    <w:rsid w:val="00AE4870"/>
    <w:rsid w:val="00AF54C4"/>
    <w:rsid w:val="00B01E18"/>
    <w:rsid w:val="00B01E6B"/>
    <w:rsid w:val="00B0263F"/>
    <w:rsid w:val="00B02713"/>
    <w:rsid w:val="00B028A3"/>
    <w:rsid w:val="00B05A2B"/>
    <w:rsid w:val="00B07191"/>
    <w:rsid w:val="00B0764B"/>
    <w:rsid w:val="00B109C4"/>
    <w:rsid w:val="00B10BF8"/>
    <w:rsid w:val="00B119C3"/>
    <w:rsid w:val="00B122DA"/>
    <w:rsid w:val="00B12555"/>
    <w:rsid w:val="00B20F22"/>
    <w:rsid w:val="00B22177"/>
    <w:rsid w:val="00B237AD"/>
    <w:rsid w:val="00B23BDD"/>
    <w:rsid w:val="00B251EB"/>
    <w:rsid w:val="00B256FF"/>
    <w:rsid w:val="00B270B0"/>
    <w:rsid w:val="00B275A3"/>
    <w:rsid w:val="00B315FD"/>
    <w:rsid w:val="00B3338E"/>
    <w:rsid w:val="00B34519"/>
    <w:rsid w:val="00B34D4C"/>
    <w:rsid w:val="00B36F1F"/>
    <w:rsid w:val="00B40719"/>
    <w:rsid w:val="00B40819"/>
    <w:rsid w:val="00B42769"/>
    <w:rsid w:val="00B434EB"/>
    <w:rsid w:val="00B43E35"/>
    <w:rsid w:val="00B44C6A"/>
    <w:rsid w:val="00B44DB1"/>
    <w:rsid w:val="00B46365"/>
    <w:rsid w:val="00B51152"/>
    <w:rsid w:val="00B5136C"/>
    <w:rsid w:val="00B52D3C"/>
    <w:rsid w:val="00B5314C"/>
    <w:rsid w:val="00B53E16"/>
    <w:rsid w:val="00B544C8"/>
    <w:rsid w:val="00B54AAC"/>
    <w:rsid w:val="00B554F3"/>
    <w:rsid w:val="00B6408F"/>
    <w:rsid w:val="00B6460B"/>
    <w:rsid w:val="00B64B2A"/>
    <w:rsid w:val="00B65B2E"/>
    <w:rsid w:val="00B66676"/>
    <w:rsid w:val="00B716FB"/>
    <w:rsid w:val="00B71972"/>
    <w:rsid w:val="00B71F50"/>
    <w:rsid w:val="00B760D7"/>
    <w:rsid w:val="00B77212"/>
    <w:rsid w:val="00B77AC9"/>
    <w:rsid w:val="00B8268D"/>
    <w:rsid w:val="00B92D3D"/>
    <w:rsid w:val="00B937A2"/>
    <w:rsid w:val="00B940C4"/>
    <w:rsid w:val="00B940FA"/>
    <w:rsid w:val="00B96E22"/>
    <w:rsid w:val="00B977D7"/>
    <w:rsid w:val="00B97FE8"/>
    <w:rsid w:val="00BA06C8"/>
    <w:rsid w:val="00BA3021"/>
    <w:rsid w:val="00BA31A5"/>
    <w:rsid w:val="00BA4215"/>
    <w:rsid w:val="00BA6053"/>
    <w:rsid w:val="00BA7F0C"/>
    <w:rsid w:val="00BB0452"/>
    <w:rsid w:val="00BB18FA"/>
    <w:rsid w:val="00BB510C"/>
    <w:rsid w:val="00BB537F"/>
    <w:rsid w:val="00BB5B94"/>
    <w:rsid w:val="00BB6428"/>
    <w:rsid w:val="00BB685B"/>
    <w:rsid w:val="00BB69F2"/>
    <w:rsid w:val="00BB711A"/>
    <w:rsid w:val="00BC1371"/>
    <w:rsid w:val="00BC1995"/>
    <w:rsid w:val="00BC1D93"/>
    <w:rsid w:val="00BC1DAD"/>
    <w:rsid w:val="00BC388C"/>
    <w:rsid w:val="00BC6C4A"/>
    <w:rsid w:val="00BD0BE5"/>
    <w:rsid w:val="00BD220D"/>
    <w:rsid w:val="00BD2F2D"/>
    <w:rsid w:val="00BD69A0"/>
    <w:rsid w:val="00BD6FDE"/>
    <w:rsid w:val="00BE016D"/>
    <w:rsid w:val="00BE2436"/>
    <w:rsid w:val="00BE3E5C"/>
    <w:rsid w:val="00BE443D"/>
    <w:rsid w:val="00BE48FC"/>
    <w:rsid w:val="00BE5295"/>
    <w:rsid w:val="00BE6FB2"/>
    <w:rsid w:val="00BF0713"/>
    <w:rsid w:val="00BF0971"/>
    <w:rsid w:val="00BF1D6C"/>
    <w:rsid w:val="00BF2F7B"/>
    <w:rsid w:val="00BF4F28"/>
    <w:rsid w:val="00BF51DD"/>
    <w:rsid w:val="00BF5DD1"/>
    <w:rsid w:val="00BF6BFD"/>
    <w:rsid w:val="00BF75D6"/>
    <w:rsid w:val="00BF78F1"/>
    <w:rsid w:val="00C012EA"/>
    <w:rsid w:val="00C037FB"/>
    <w:rsid w:val="00C13A28"/>
    <w:rsid w:val="00C13B96"/>
    <w:rsid w:val="00C2037E"/>
    <w:rsid w:val="00C25512"/>
    <w:rsid w:val="00C2582F"/>
    <w:rsid w:val="00C2704F"/>
    <w:rsid w:val="00C30625"/>
    <w:rsid w:val="00C31891"/>
    <w:rsid w:val="00C323C4"/>
    <w:rsid w:val="00C32A79"/>
    <w:rsid w:val="00C35B57"/>
    <w:rsid w:val="00C37A35"/>
    <w:rsid w:val="00C40641"/>
    <w:rsid w:val="00C4221E"/>
    <w:rsid w:val="00C42CE4"/>
    <w:rsid w:val="00C430E5"/>
    <w:rsid w:val="00C44B42"/>
    <w:rsid w:val="00C44B5E"/>
    <w:rsid w:val="00C44B6C"/>
    <w:rsid w:val="00C4746C"/>
    <w:rsid w:val="00C477B4"/>
    <w:rsid w:val="00C4793E"/>
    <w:rsid w:val="00C50490"/>
    <w:rsid w:val="00C511AF"/>
    <w:rsid w:val="00C5174A"/>
    <w:rsid w:val="00C51D85"/>
    <w:rsid w:val="00C51E4F"/>
    <w:rsid w:val="00C524B0"/>
    <w:rsid w:val="00C52CE5"/>
    <w:rsid w:val="00C55D42"/>
    <w:rsid w:val="00C61D21"/>
    <w:rsid w:val="00C62638"/>
    <w:rsid w:val="00C63295"/>
    <w:rsid w:val="00C63F88"/>
    <w:rsid w:val="00C63FD2"/>
    <w:rsid w:val="00C66886"/>
    <w:rsid w:val="00C71056"/>
    <w:rsid w:val="00C7330A"/>
    <w:rsid w:val="00C736AD"/>
    <w:rsid w:val="00C74373"/>
    <w:rsid w:val="00C743E8"/>
    <w:rsid w:val="00C748D9"/>
    <w:rsid w:val="00C77807"/>
    <w:rsid w:val="00C7798D"/>
    <w:rsid w:val="00C77AE7"/>
    <w:rsid w:val="00C8063D"/>
    <w:rsid w:val="00C807D0"/>
    <w:rsid w:val="00C82990"/>
    <w:rsid w:val="00C84790"/>
    <w:rsid w:val="00C84D89"/>
    <w:rsid w:val="00C8662C"/>
    <w:rsid w:val="00C86E5C"/>
    <w:rsid w:val="00C8790A"/>
    <w:rsid w:val="00C91FCC"/>
    <w:rsid w:val="00C943D2"/>
    <w:rsid w:val="00C96ADE"/>
    <w:rsid w:val="00C96B2B"/>
    <w:rsid w:val="00C97F08"/>
    <w:rsid w:val="00CA1502"/>
    <w:rsid w:val="00CA2FB3"/>
    <w:rsid w:val="00CA6016"/>
    <w:rsid w:val="00CA6B2F"/>
    <w:rsid w:val="00CA6E51"/>
    <w:rsid w:val="00CB0504"/>
    <w:rsid w:val="00CB105A"/>
    <w:rsid w:val="00CB2081"/>
    <w:rsid w:val="00CB2F12"/>
    <w:rsid w:val="00CB5C31"/>
    <w:rsid w:val="00CB6399"/>
    <w:rsid w:val="00CC004C"/>
    <w:rsid w:val="00CC06B6"/>
    <w:rsid w:val="00CC1465"/>
    <w:rsid w:val="00CC1483"/>
    <w:rsid w:val="00CC1F44"/>
    <w:rsid w:val="00CC323B"/>
    <w:rsid w:val="00CC6F7B"/>
    <w:rsid w:val="00CD0B18"/>
    <w:rsid w:val="00CD0C84"/>
    <w:rsid w:val="00CD2719"/>
    <w:rsid w:val="00CD4A9C"/>
    <w:rsid w:val="00CD4AF5"/>
    <w:rsid w:val="00CD4D30"/>
    <w:rsid w:val="00CD4E8F"/>
    <w:rsid w:val="00CE16E3"/>
    <w:rsid w:val="00CE31E1"/>
    <w:rsid w:val="00CE4FEB"/>
    <w:rsid w:val="00CE7E5F"/>
    <w:rsid w:val="00CF0C17"/>
    <w:rsid w:val="00CF1973"/>
    <w:rsid w:val="00CF258A"/>
    <w:rsid w:val="00CF5EBD"/>
    <w:rsid w:val="00CF7465"/>
    <w:rsid w:val="00CF75CB"/>
    <w:rsid w:val="00CF7C4A"/>
    <w:rsid w:val="00D00FC9"/>
    <w:rsid w:val="00D01B5E"/>
    <w:rsid w:val="00D01E78"/>
    <w:rsid w:val="00D02050"/>
    <w:rsid w:val="00D03BAF"/>
    <w:rsid w:val="00D0583C"/>
    <w:rsid w:val="00D1008E"/>
    <w:rsid w:val="00D1120C"/>
    <w:rsid w:val="00D12AD3"/>
    <w:rsid w:val="00D13211"/>
    <w:rsid w:val="00D137CC"/>
    <w:rsid w:val="00D13A61"/>
    <w:rsid w:val="00D13FAE"/>
    <w:rsid w:val="00D143B0"/>
    <w:rsid w:val="00D14510"/>
    <w:rsid w:val="00D145E3"/>
    <w:rsid w:val="00D154FC"/>
    <w:rsid w:val="00D159D0"/>
    <w:rsid w:val="00D16C40"/>
    <w:rsid w:val="00D17527"/>
    <w:rsid w:val="00D212FE"/>
    <w:rsid w:val="00D21A00"/>
    <w:rsid w:val="00D22D47"/>
    <w:rsid w:val="00D24C15"/>
    <w:rsid w:val="00D24ED8"/>
    <w:rsid w:val="00D2586D"/>
    <w:rsid w:val="00D303E8"/>
    <w:rsid w:val="00D315D7"/>
    <w:rsid w:val="00D31AFD"/>
    <w:rsid w:val="00D32EFE"/>
    <w:rsid w:val="00D333A3"/>
    <w:rsid w:val="00D341AC"/>
    <w:rsid w:val="00D3758A"/>
    <w:rsid w:val="00D40652"/>
    <w:rsid w:val="00D4247B"/>
    <w:rsid w:val="00D444BD"/>
    <w:rsid w:val="00D51FE1"/>
    <w:rsid w:val="00D52CDF"/>
    <w:rsid w:val="00D538EB"/>
    <w:rsid w:val="00D5559E"/>
    <w:rsid w:val="00D56916"/>
    <w:rsid w:val="00D6044B"/>
    <w:rsid w:val="00D63AAB"/>
    <w:rsid w:val="00D65752"/>
    <w:rsid w:val="00D66C47"/>
    <w:rsid w:val="00D70313"/>
    <w:rsid w:val="00D7176D"/>
    <w:rsid w:val="00D7344A"/>
    <w:rsid w:val="00D7461F"/>
    <w:rsid w:val="00D74934"/>
    <w:rsid w:val="00D75437"/>
    <w:rsid w:val="00D77B5F"/>
    <w:rsid w:val="00D80184"/>
    <w:rsid w:val="00D80472"/>
    <w:rsid w:val="00D80548"/>
    <w:rsid w:val="00D8196E"/>
    <w:rsid w:val="00D81D00"/>
    <w:rsid w:val="00D821AE"/>
    <w:rsid w:val="00D83CFA"/>
    <w:rsid w:val="00D85DF6"/>
    <w:rsid w:val="00D86086"/>
    <w:rsid w:val="00D87014"/>
    <w:rsid w:val="00D92449"/>
    <w:rsid w:val="00D93B92"/>
    <w:rsid w:val="00D93D9B"/>
    <w:rsid w:val="00D94CC6"/>
    <w:rsid w:val="00D951C7"/>
    <w:rsid w:val="00D96641"/>
    <w:rsid w:val="00DA0B93"/>
    <w:rsid w:val="00DA0F10"/>
    <w:rsid w:val="00DA5375"/>
    <w:rsid w:val="00DA7269"/>
    <w:rsid w:val="00DA78E2"/>
    <w:rsid w:val="00DA7972"/>
    <w:rsid w:val="00DB30F7"/>
    <w:rsid w:val="00DB50B5"/>
    <w:rsid w:val="00DB6A2F"/>
    <w:rsid w:val="00DC025F"/>
    <w:rsid w:val="00DC1102"/>
    <w:rsid w:val="00DC4E71"/>
    <w:rsid w:val="00DC54A6"/>
    <w:rsid w:val="00DC59DB"/>
    <w:rsid w:val="00DC5D2E"/>
    <w:rsid w:val="00DC7022"/>
    <w:rsid w:val="00DC70C0"/>
    <w:rsid w:val="00DD013A"/>
    <w:rsid w:val="00DD238A"/>
    <w:rsid w:val="00DD26C2"/>
    <w:rsid w:val="00DD2FBE"/>
    <w:rsid w:val="00DD4261"/>
    <w:rsid w:val="00DD462A"/>
    <w:rsid w:val="00DD5AE8"/>
    <w:rsid w:val="00DD5B40"/>
    <w:rsid w:val="00DD610F"/>
    <w:rsid w:val="00DD70B7"/>
    <w:rsid w:val="00DD7186"/>
    <w:rsid w:val="00DE0F75"/>
    <w:rsid w:val="00DE23E9"/>
    <w:rsid w:val="00DE3032"/>
    <w:rsid w:val="00DE5304"/>
    <w:rsid w:val="00DE69BF"/>
    <w:rsid w:val="00DF050A"/>
    <w:rsid w:val="00DF2085"/>
    <w:rsid w:val="00DF26D8"/>
    <w:rsid w:val="00DF2EE8"/>
    <w:rsid w:val="00DF3925"/>
    <w:rsid w:val="00DF3DBA"/>
    <w:rsid w:val="00E00149"/>
    <w:rsid w:val="00E00FD6"/>
    <w:rsid w:val="00E04E74"/>
    <w:rsid w:val="00E05031"/>
    <w:rsid w:val="00E10F33"/>
    <w:rsid w:val="00E11C92"/>
    <w:rsid w:val="00E12EA8"/>
    <w:rsid w:val="00E13185"/>
    <w:rsid w:val="00E170AC"/>
    <w:rsid w:val="00E20100"/>
    <w:rsid w:val="00E2067F"/>
    <w:rsid w:val="00E215C6"/>
    <w:rsid w:val="00E22222"/>
    <w:rsid w:val="00E259B1"/>
    <w:rsid w:val="00E30A21"/>
    <w:rsid w:val="00E320BA"/>
    <w:rsid w:val="00E32244"/>
    <w:rsid w:val="00E349F1"/>
    <w:rsid w:val="00E37AED"/>
    <w:rsid w:val="00E40D38"/>
    <w:rsid w:val="00E416E3"/>
    <w:rsid w:val="00E42843"/>
    <w:rsid w:val="00E45686"/>
    <w:rsid w:val="00E475D5"/>
    <w:rsid w:val="00E501A7"/>
    <w:rsid w:val="00E504B4"/>
    <w:rsid w:val="00E519BC"/>
    <w:rsid w:val="00E52AF4"/>
    <w:rsid w:val="00E53ADD"/>
    <w:rsid w:val="00E55C2A"/>
    <w:rsid w:val="00E57376"/>
    <w:rsid w:val="00E57591"/>
    <w:rsid w:val="00E57672"/>
    <w:rsid w:val="00E6135A"/>
    <w:rsid w:val="00E621D5"/>
    <w:rsid w:val="00E6283C"/>
    <w:rsid w:val="00E642D9"/>
    <w:rsid w:val="00E64B22"/>
    <w:rsid w:val="00E66473"/>
    <w:rsid w:val="00E66FBB"/>
    <w:rsid w:val="00E7014A"/>
    <w:rsid w:val="00E72651"/>
    <w:rsid w:val="00E737C1"/>
    <w:rsid w:val="00E74ED6"/>
    <w:rsid w:val="00E76178"/>
    <w:rsid w:val="00E770AD"/>
    <w:rsid w:val="00E805D2"/>
    <w:rsid w:val="00E811D8"/>
    <w:rsid w:val="00E81662"/>
    <w:rsid w:val="00E8174B"/>
    <w:rsid w:val="00E849E4"/>
    <w:rsid w:val="00E85C2E"/>
    <w:rsid w:val="00E85D52"/>
    <w:rsid w:val="00E86A69"/>
    <w:rsid w:val="00E87800"/>
    <w:rsid w:val="00E91E0A"/>
    <w:rsid w:val="00E92AF0"/>
    <w:rsid w:val="00E93E8A"/>
    <w:rsid w:val="00E94036"/>
    <w:rsid w:val="00E94E4C"/>
    <w:rsid w:val="00E9540F"/>
    <w:rsid w:val="00E97ADE"/>
    <w:rsid w:val="00EA291C"/>
    <w:rsid w:val="00EA3FA3"/>
    <w:rsid w:val="00EA6BC5"/>
    <w:rsid w:val="00EA753B"/>
    <w:rsid w:val="00EA7578"/>
    <w:rsid w:val="00EB2173"/>
    <w:rsid w:val="00EB2735"/>
    <w:rsid w:val="00EB37F3"/>
    <w:rsid w:val="00EB4AB2"/>
    <w:rsid w:val="00EB56AF"/>
    <w:rsid w:val="00EB5A82"/>
    <w:rsid w:val="00EB6846"/>
    <w:rsid w:val="00EC0D3C"/>
    <w:rsid w:val="00EC1024"/>
    <w:rsid w:val="00EC17C9"/>
    <w:rsid w:val="00EC2949"/>
    <w:rsid w:val="00EC2AC8"/>
    <w:rsid w:val="00EC3726"/>
    <w:rsid w:val="00EC5A34"/>
    <w:rsid w:val="00EC6E17"/>
    <w:rsid w:val="00EC73D3"/>
    <w:rsid w:val="00ED0BB5"/>
    <w:rsid w:val="00ED0EBA"/>
    <w:rsid w:val="00ED180C"/>
    <w:rsid w:val="00ED2D64"/>
    <w:rsid w:val="00ED3FE0"/>
    <w:rsid w:val="00ED7CBB"/>
    <w:rsid w:val="00EE01FE"/>
    <w:rsid w:val="00EE02A1"/>
    <w:rsid w:val="00EE02E8"/>
    <w:rsid w:val="00EE03DA"/>
    <w:rsid w:val="00EE383B"/>
    <w:rsid w:val="00EE6EED"/>
    <w:rsid w:val="00EF1E3C"/>
    <w:rsid w:val="00EF277C"/>
    <w:rsid w:val="00EF2F8F"/>
    <w:rsid w:val="00EF2F90"/>
    <w:rsid w:val="00F012D4"/>
    <w:rsid w:val="00F023CB"/>
    <w:rsid w:val="00F02FCD"/>
    <w:rsid w:val="00F045F3"/>
    <w:rsid w:val="00F06EBF"/>
    <w:rsid w:val="00F06FE6"/>
    <w:rsid w:val="00F0722D"/>
    <w:rsid w:val="00F07A03"/>
    <w:rsid w:val="00F10B84"/>
    <w:rsid w:val="00F11C39"/>
    <w:rsid w:val="00F151B5"/>
    <w:rsid w:val="00F163AC"/>
    <w:rsid w:val="00F17901"/>
    <w:rsid w:val="00F20DF4"/>
    <w:rsid w:val="00F215A3"/>
    <w:rsid w:val="00F2235B"/>
    <w:rsid w:val="00F22376"/>
    <w:rsid w:val="00F237B6"/>
    <w:rsid w:val="00F23928"/>
    <w:rsid w:val="00F23E35"/>
    <w:rsid w:val="00F24217"/>
    <w:rsid w:val="00F2448E"/>
    <w:rsid w:val="00F24BF1"/>
    <w:rsid w:val="00F257BC"/>
    <w:rsid w:val="00F2582A"/>
    <w:rsid w:val="00F26368"/>
    <w:rsid w:val="00F27491"/>
    <w:rsid w:val="00F30442"/>
    <w:rsid w:val="00F30745"/>
    <w:rsid w:val="00F32719"/>
    <w:rsid w:val="00F32BDA"/>
    <w:rsid w:val="00F32CB7"/>
    <w:rsid w:val="00F33AA4"/>
    <w:rsid w:val="00F341EF"/>
    <w:rsid w:val="00F4054C"/>
    <w:rsid w:val="00F4082A"/>
    <w:rsid w:val="00F41DD7"/>
    <w:rsid w:val="00F45D2E"/>
    <w:rsid w:val="00F465DD"/>
    <w:rsid w:val="00F46F62"/>
    <w:rsid w:val="00F47172"/>
    <w:rsid w:val="00F47E78"/>
    <w:rsid w:val="00F5209A"/>
    <w:rsid w:val="00F5405A"/>
    <w:rsid w:val="00F544CB"/>
    <w:rsid w:val="00F55B87"/>
    <w:rsid w:val="00F56F20"/>
    <w:rsid w:val="00F61451"/>
    <w:rsid w:val="00F61883"/>
    <w:rsid w:val="00F628FB"/>
    <w:rsid w:val="00F6335F"/>
    <w:rsid w:val="00F644B4"/>
    <w:rsid w:val="00F64FD5"/>
    <w:rsid w:val="00F65470"/>
    <w:rsid w:val="00F661C1"/>
    <w:rsid w:val="00F66C9B"/>
    <w:rsid w:val="00F7070A"/>
    <w:rsid w:val="00F7290D"/>
    <w:rsid w:val="00F753AD"/>
    <w:rsid w:val="00F759F9"/>
    <w:rsid w:val="00F76BA2"/>
    <w:rsid w:val="00F77600"/>
    <w:rsid w:val="00F80A9C"/>
    <w:rsid w:val="00F80AB2"/>
    <w:rsid w:val="00F81290"/>
    <w:rsid w:val="00F82439"/>
    <w:rsid w:val="00F82AF7"/>
    <w:rsid w:val="00F841CB"/>
    <w:rsid w:val="00F843A0"/>
    <w:rsid w:val="00F84A2A"/>
    <w:rsid w:val="00F900E9"/>
    <w:rsid w:val="00F90679"/>
    <w:rsid w:val="00F90C5D"/>
    <w:rsid w:val="00F91D3B"/>
    <w:rsid w:val="00F93D2A"/>
    <w:rsid w:val="00F93F3D"/>
    <w:rsid w:val="00F953B0"/>
    <w:rsid w:val="00F9617F"/>
    <w:rsid w:val="00FA0E21"/>
    <w:rsid w:val="00FA3166"/>
    <w:rsid w:val="00FA367A"/>
    <w:rsid w:val="00FA7876"/>
    <w:rsid w:val="00FA7E47"/>
    <w:rsid w:val="00FB03A1"/>
    <w:rsid w:val="00FB0EDA"/>
    <w:rsid w:val="00FB3352"/>
    <w:rsid w:val="00FC1A18"/>
    <w:rsid w:val="00FC1F56"/>
    <w:rsid w:val="00FC2382"/>
    <w:rsid w:val="00FC23BB"/>
    <w:rsid w:val="00FC28E3"/>
    <w:rsid w:val="00FD16D4"/>
    <w:rsid w:val="00FD1879"/>
    <w:rsid w:val="00FD2AAD"/>
    <w:rsid w:val="00FD31C2"/>
    <w:rsid w:val="00FD3240"/>
    <w:rsid w:val="00FD3497"/>
    <w:rsid w:val="00FE0825"/>
    <w:rsid w:val="00FE4915"/>
    <w:rsid w:val="00FE6DD5"/>
    <w:rsid w:val="00FE7349"/>
    <w:rsid w:val="00FF02DE"/>
    <w:rsid w:val="00FF306B"/>
    <w:rsid w:val="00FF49FD"/>
    <w:rsid w:val="00FF4E54"/>
    <w:rsid w:val="00FF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19D5F25-A34E-4E6A-B06A-9D319CA6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1FCC"/>
    <w:rPr>
      <w:sz w:val="24"/>
      <w:szCs w:val="24"/>
    </w:rPr>
  </w:style>
  <w:style w:type="paragraph" w:styleId="Heading1">
    <w:name w:val="heading 1"/>
    <w:basedOn w:val="ListNumber"/>
    <w:next w:val="BodyText"/>
    <w:autoRedefine/>
    <w:qFormat/>
    <w:rsid w:val="005711D3"/>
    <w:pPr>
      <w:keepNext/>
      <w:keepLines/>
      <w:widowControl w:val="0"/>
      <w:numPr>
        <w:numId w:val="1"/>
      </w:numPr>
      <w:shd w:val="clear" w:color="auto" w:fill="FFFFFF"/>
      <w:outlineLvl w:val="0"/>
    </w:pPr>
    <w:rPr>
      <w:b/>
      <w:bCs/>
    </w:rPr>
  </w:style>
  <w:style w:type="paragraph" w:styleId="Heading2">
    <w:name w:val="heading 2"/>
    <w:basedOn w:val="ListContinue"/>
    <w:next w:val="Normal"/>
    <w:qFormat/>
    <w:rsid w:val="00C91FCC"/>
    <w:pPr>
      <w:keepNext/>
      <w:numPr>
        <w:ilvl w:val="1"/>
        <w:numId w:val="1"/>
      </w:numPr>
      <w:outlineLvl w:val="1"/>
    </w:pPr>
    <w:rPr>
      <w:rFonts w:ascii="Arial Narrow" w:hAnsi="Arial Narrow"/>
      <w:b/>
      <w:bCs/>
    </w:rPr>
  </w:style>
  <w:style w:type="paragraph" w:styleId="Heading3">
    <w:name w:val="heading 3"/>
    <w:basedOn w:val="Normal"/>
    <w:next w:val="Normal"/>
    <w:qFormat/>
    <w:rsid w:val="00C91FCC"/>
    <w:pPr>
      <w:keepNext/>
      <w:spacing w:before="240" w:after="60"/>
      <w:outlineLvl w:val="2"/>
    </w:pPr>
    <w:rPr>
      <w:rFonts w:ascii="Arial" w:hAnsi="Arial" w:cs="Arial"/>
      <w:b/>
      <w:bCs/>
      <w:sz w:val="26"/>
      <w:szCs w:val="26"/>
    </w:rPr>
  </w:style>
  <w:style w:type="paragraph" w:styleId="Heading4">
    <w:name w:val="heading 4"/>
    <w:basedOn w:val="Normal"/>
    <w:next w:val="Normal"/>
    <w:qFormat/>
    <w:rsid w:val="00C91FCC"/>
    <w:pPr>
      <w:keepNext/>
      <w:spacing w:before="240" w:after="60"/>
      <w:outlineLvl w:val="3"/>
    </w:pPr>
    <w:rPr>
      <w:b/>
      <w:bCs/>
      <w:sz w:val="28"/>
      <w:szCs w:val="28"/>
    </w:rPr>
  </w:style>
  <w:style w:type="paragraph" w:styleId="Heading5">
    <w:name w:val="heading 5"/>
    <w:basedOn w:val="Normal"/>
    <w:next w:val="Normal"/>
    <w:qFormat/>
    <w:rsid w:val="00C91FCC"/>
    <w:pPr>
      <w:spacing w:before="240" w:after="60"/>
      <w:outlineLvl w:val="4"/>
    </w:pPr>
    <w:rPr>
      <w:b/>
      <w:bCs/>
      <w:i/>
      <w:iCs/>
      <w:sz w:val="26"/>
      <w:szCs w:val="26"/>
    </w:rPr>
  </w:style>
  <w:style w:type="paragraph" w:styleId="Heading6">
    <w:name w:val="heading 6"/>
    <w:basedOn w:val="Normal"/>
    <w:next w:val="Normal"/>
    <w:qFormat/>
    <w:rsid w:val="00C91FCC"/>
    <w:pPr>
      <w:keepNext/>
      <w:outlineLvl w:val="5"/>
    </w:pPr>
    <w:rPr>
      <w:sz w:val="52"/>
    </w:rPr>
  </w:style>
  <w:style w:type="paragraph" w:styleId="Heading7">
    <w:name w:val="heading 7"/>
    <w:basedOn w:val="Normal"/>
    <w:next w:val="Normal"/>
    <w:qFormat/>
    <w:rsid w:val="00C91FCC"/>
    <w:pPr>
      <w:keepNext/>
      <w:jc w:val="center"/>
      <w:outlineLvl w:val="6"/>
    </w:pPr>
    <w:rPr>
      <w:rFonts w:ascii="Arial Narrow" w:hAnsi="Arial Narrow"/>
      <w:b/>
      <w:bCs/>
    </w:rPr>
  </w:style>
  <w:style w:type="paragraph" w:styleId="Heading8">
    <w:name w:val="heading 8"/>
    <w:basedOn w:val="Normal"/>
    <w:next w:val="Normal"/>
    <w:qFormat/>
    <w:rsid w:val="00C91FCC"/>
    <w:pPr>
      <w:spacing w:before="240" w:after="60"/>
      <w:outlineLvl w:val="7"/>
    </w:pPr>
    <w:rPr>
      <w:i/>
      <w:iCs/>
    </w:rPr>
  </w:style>
  <w:style w:type="paragraph" w:styleId="Heading9">
    <w:name w:val="heading 9"/>
    <w:basedOn w:val="Normal"/>
    <w:next w:val="Normal"/>
    <w:qFormat/>
    <w:rsid w:val="00C91FCC"/>
    <w:pPr>
      <w:keepNext/>
      <w:outlineLvl w:val="8"/>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1FCC"/>
    <w:rPr>
      <w:u w:val="single"/>
    </w:rPr>
  </w:style>
  <w:style w:type="paragraph" w:styleId="BodyText2">
    <w:name w:val="Body Text 2"/>
    <w:basedOn w:val="Normal"/>
    <w:rsid w:val="00C91FCC"/>
    <w:rPr>
      <w:rFonts w:ascii="Arial Narrow" w:hAnsi="Arial Narrow"/>
      <w:b/>
      <w:bCs/>
      <w:u w:val="single"/>
    </w:rPr>
  </w:style>
  <w:style w:type="paragraph" w:styleId="BodyText3">
    <w:name w:val="Body Text 3"/>
    <w:basedOn w:val="Normal"/>
    <w:rsid w:val="00C91FCC"/>
    <w:rPr>
      <w:rFonts w:ascii="Arial Narrow" w:hAnsi="Arial Narrow"/>
      <w:b/>
      <w:bCs/>
    </w:rPr>
  </w:style>
  <w:style w:type="paragraph" w:styleId="TOC1">
    <w:name w:val="toc 1"/>
    <w:basedOn w:val="Normal"/>
    <w:next w:val="Normal"/>
    <w:autoRedefine/>
    <w:uiPriority w:val="39"/>
    <w:qFormat/>
    <w:rsid w:val="00AB31BE"/>
    <w:pPr>
      <w:tabs>
        <w:tab w:val="left" w:pos="720"/>
        <w:tab w:val="right" w:leader="dot" w:pos="8630"/>
      </w:tabs>
      <w:spacing w:after="360"/>
    </w:pPr>
    <w:rPr>
      <w:rFonts w:ascii="Arial Narrow" w:hAnsi="Arial Narrow"/>
      <w:b/>
      <w:caps/>
    </w:rPr>
  </w:style>
  <w:style w:type="paragraph" w:styleId="TOC2">
    <w:name w:val="toc 2"/>
    <w:basedOn w:val="Normal"/>
    <w:next w:val="Normal"/>
    <w:autoRedefine/>
    <w:uiPriority w:val="39"/>
    <w:qFormat/>
    <w:rsid w:val="00C91FCC"/>
    <w:pPr>
      <w:tabs>
        <w:tab w:val="left" w:pos="960"/>
        <w:tab w:val="right" w:leader="dot" w:pos="8630"/>
      </w:tabs>
      <w:ind w:left="245"/>
    </w:pPr>
    <w:rPr>
      <w:rFonts w:ascii="Arial Narrow" w:hAnsi="Arial Narrow"/>
      <w:smallCaps/>
      <w:noProof/>
    </w:rPr>
  </w:style>
  <w:style w:type="paragraph" w:styleId="TOC3">
    <w:name w:val="toc 3"/>
    <w:basedOn w:val="Normal"/>
    <w:next w:val="Normal"/>
    <w:autoRedefine/>
    <w:uiPriority w:val="39"/>
    <w:semiHidden/>
    <w:qFormat/>
    <w:rsid w:val="00C91FCC"/>
    <w:pPr>
      <w:ind w:left="480"/>
    </w:pPr>
    <w:rPr>
      <w:rFonts w:ascii="Arial Narrow" w:hAnsi="Arial Narrow"/>
    </w:rPr>
  </w:style>
  <w:style w:type="paragraph" w:styleId="TOC4">
    <w:name w:val="toc 4"/>
    <w:basedOn w:val="Normal"/>
    <w:next w:val="Normal"/>
    <w:autoRedefine/>
    <w:semiHidden/>
    <w:rsid w:val="00C91FCC"/>
    <w:pPr>
      <w:ind w:left="720"/>
    </w:pPr>
  </w:style>
  <w:style w:type="paragraph" w:styleId="TOC5">
    <w:name w:val="toc 5"/>
    <w:basedOn w:val="Normal"/>
    <w:next w:val="Normal"/>
    <w:autoRedefine/>
    <w:semiHidden/>
    <w:rsid w:val="00C91FCC"/>
    <w:pPr>
      <w:ind w:left="960"/>
    </w:pPr>
  </w:style>
  <w:style w:type="paragraph" w:styleId="TOC6">
    <w:name w:val="toc 6"/>
    <w:basedOn w:val="Normal"/>
    <w:next w:val="Normal"/>
    <w:autoRedefine/>
    <w:semiHidden/>
    <w:rsid w:val="00C91FCC"/>
    <w:pPr>
      <w:ind w:left="1200"/>
    </w:pPr>
  </w:style>
  <w:style w:type="paragraph" w:styleId="TOC7">
    <w:name w:val="toc 7"/>
    <w:basedOn w:val="Normal"/>
    <w:next w:val="Normal"/>
    <w:autoRedefine/>
    <w:semiHidden/>
    <w:rsid w:val="00C91FCC"/>
    <w:pPr>
      <w:ind w:left="1440"/>
    </w:pPr>
  </w:style>
  <w:style w:type="paragraph" w:styleId="TOC8">
    <w:name w:val="toc 8"/>
    <w:basedOn w:val="Normal"/>
    <w:next w:val="Normal"/>
    <w:autoRedefine/>
    <w:semiHidden/>
    <w:rsid w:val="00C91FCC"/>
    <w:pPr>
      <w:ind w:left="1680"/>
    </w:pPr>
  </w:style>
  <w:style w:type="paragraph" w:styleId="TOC9">
    <w:name w:val="toc 9"/>
    <w:basedOn w:val="Normal"/>
    <w:next w:val="Normal"/>
    <w:autoRedefine/>
    <w:semiHidden/>
    <w:rsid w:val="00C91FCC"/>
    <w:pPr>
      <w:ind w:left="1920"/>
    </w:pPr>
  </w:style>
  <w:style w:type="character" w:styleId="Hyperlink">
    <w:name w:val="Hyperlink"/>
    <w:uiPriority w:val="99"/>
    <w:rsid w:val="00C91FCC"/>
    <w:rPr>
      <w:color w:val="0000FF"/>
      <w:u w:val="single"/>
    </w:rPr>
  </w:style>
  <w:style w:type="paragraph" w:customStyle="1" w:styleId="GRtitle">
    <w:name w:val="GRtitle"/>
    <w:basedOn w:val="Normal"/>
    <w:rsid w:val="00C91FCC"/>
    <w:pPr>
      <w:tabs>
        <w:tab w:val="left" w:pos="432"/>
      </w:tabs>
    </w:pPr>
    <w:rPr>
      <w:rFonts w:ascii="Arial" w:hAnsi="Arial"/>
      <w:b/>
      <w:noProof/>
      <w:spacing w:val="8"/>
      <w:sz w:val="20"/>
      <w:szCs w:val="20"/>
    </w:rPr>
  </w:style>
  <w:style w:type="paragraph" w:styleId="Header">
    <w:name w:val="header"/>
    <w:basedOn w:val="Normal"/>
    <w:rsid w:val="00C91FCC"/>
    <w:pPr>
      <w:tabs>
        <w:tab w:val="center" w:pos="4320"/>
        <w:tab w:val="right" w:pos="8640"/>
      </w:tabs>
    </w:pPr>
  </w:style>
  <w:style w:type="paragraph" w:styleId="Footer">
    <w:name w:val="footer"/>
    <w:basedOn w:val="Normal"/>
    <w:rsid w:val="00C91FCC"/>
    <w:pPr>
      <w:tabs>
        <w:tab w:val="center" w:pos="4320"/>
        <w:tab w:val="right" w:pos="8640"/>
      </w:tabs>
    </w:pPr>
  </w:style>
  <w:style w:type="character" w:styleId="PageNumber">
    <w:name w:val="page number"/>
    <w:basedOn w:val="DefaultParagraphFont"/>
    <w:rsid w:val="00C91FCC"/>
  </w:style>
  <w:style w:type="paragraph" w:styleId="FootnoteText">
    <w:name w:val="footnote text"/>
    <w:basedOn w:val="Normal"/>
    <w:semiHidden/>
    <w:rsid w:val="00C91FCC"/>
    <w:rPr>
      <w:sz w:val="20"/>
      <w:szCs w:val="20"/>
    </w:rPr>
  </w:style>
  <w:style w:type="character" w:styleId="FootnoteReference">
    <w:name w:val="footnote reference"/>
    <w:semiHidden/>
    <w:rsid w:val="00C91FCC"/>
    <w:rPr>
      <w:vertAlign w:val="superscript"/>
    </w:rPr>
  </w:style>
  <w:style w:type="character" w:styleId="FollowedHyperlink">
    <w:name w:val="FollowedHyperlink"/>
    <w:rsid w:val="00C91FCC"/>
    <w:rPr>
      <w:color w:val="800080"/>
      <w:u w:val="single"/>
    </w:rPr>
  </w:style>
  <w:style w:type="paragraph" w:customStyle="1" w:styleId="xl38">
    <w:name w:val="xl38"/>
    <w:basedOn w:val="Normal"/>
    <w:rsid w:val="00C91FCC"/>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pPr>
    <w:rPr>
      <w:rFonts w:ascii="Arial Unicode MS" w:eastAsia="Arial Unicode MS" w:hAnsi="Arial Unicode MS" w:cs="Arial Unicode MS"/>
    </w:rPr>
  </w:style>
  <w:style w:type="paragraph" w:customStyle="1" w:styleId="font0">
    <w:name w:val="font0"/>
    <w:basedOn w:val="Normal"/>
    <w:rsid w:val="00C91FCC"/>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C91FCC"/>
    <w:pPr>
      <w:spacing w:before="100" w:beforeAutospacing="1" w:after="100" w:afterAutospacing="1"/>
    </w:pPr>
    <w:rPr>
      <w:rFonts w:ascii="Arial" w:eastAsia="Arial Unicode MS" w:hAnsi="Arial" w:cs="Arial"/>
      <w:b/>
      <w:bCs/>
      <w:sz w:val="20"/>
      <w:szCs w:val="20"/>
    </w:rPr>
  </w:style>
  <w:style w:type="paragraph" w:customStyle="1" w:styleId="xl25">
    <w:name w:val="xl25"/>
    <w:basedOn w:val="Normal"/>
    <w:rsid w:val="00C91FCC"/>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styleId="ListNumber">
    <w:name w:val="List Number"/>
    <w:basedOn w:val="Normal"/>
    <w:rsid w:val="00C91FCC"/>
  </w:style>
  <w:style w:type="paragraph" w:styleId="ListContinue">
    <w:name w:val="List Continue"/>
    <w:basedOn w:val="Normal"/>
    <w:rsid w:val="00C91FCC"/>
    <w:pPr>
      <w:spacing w:after="120"/>
      <w:ind w:left="360"/>
    </w:pPr>
  </w:style>
  <w:style w:type="paragraph" w:styleId="Index1">
    <w:name w:val="index 1"/>
    <w:basedOn w:val="Normal"/>
    <w:next w:val="Normal"/>
    <w:autoRedefine/>
    <w:semiHidden/>
    <w:rsid w:val="00C91FCC"/>
    <w:pPr>
      <w:ind w:left="240" w:hanging="240"/>
    </w:pPr>
  </w:style>
  <w:style w:type="paragraph" w:styleId="IndexHeading">
    <w:name w:val="index heading"/>
    <w:basedOn w:val="Normal"/>
    <w:next w:val="Index1"/>
    <w:semiHidden/>
    <w:rsid w:val="00C91FCC"/>
  </w:style>
  <w:style w:type="paragraph" w:styleId="Caption">
    <w:name w:val="caption"/>
    <w:basedOn w:val="Normal"/>
    <w:next w:val="Normal"/>
    <w:qFormat/>
    <w:rsid w:val="00C91FCC"/>
    <w:pPr>
      <w:spacing w:before="120" w:after="120"/>
    </w:pPr>
    <w:rPr>
      <w:b/>
      <w:bCs/>
      <w:sz w:val="20"/>
      <w:szCs w:val="20"/>
    </w:rPr>
  </w:style>
  <w:style w:type="paragraph" w:styleId="DocumentMap">
    <w:name w:val="Document Map"/>
    <w:basedOn w:val="Normal"/>
    <w:semiHidden/>
    <w:rsid w:val="00C91FCC"/>
    <w:pPr>
      <w:shd w:val="clear" w:color="auto" w:fill="000080"/>
    </w:pPr>
    <w:rPr>
      <w:rFonts w:ascii="Tahoma" w:hAnsi="Tahoma" w:cs="Tahoma"/>
    </w:rPr>
  </w:style>
  <w:style w:type="paragraph" w:styleId="PlainText">
    <w:name w:val="Plain Text"/>
    <w:basedOn w:val="Normal"/>
    <w:link w:val="PlainTextChar"/>
    <w:uiPriority w:val="99"/>
    <w:rsid w:val="00C91FCC"/>
    <w:rPr>
      <w:rFonts w:ascii="Courier New" w:hAnsi="Courier New" w:cs="Courier New"/>
      <w:sz w:val="20"/>
      <w:szCs w:val="20"/>
    </w:rPr>
  </w:style>
  <w:style w:type="paragraph" w:styleId="BalloonText">
    <w:name w:val="Balloon Text"/>
    <w:basedOn w:val="Normal"/>
    <w:semiHidden/>
    <w:rsid w:val="004D214E"/>
    <w:rPr>
      <w:rFonts w:ascii="Tahoma" w:hAnsi="Tahoma" w:cs="Tahoma"/>
      <w:sz w:val="16"/>
      <w:szCs w:val="16"/>
    </w:rPr>
  </w:style>
  <w:style w:type="paragraph" w:styleId="ListParagraph">
    <w:name w:val="List Paragraph"/>
    <w:basedOn w:val="Normal"/>
    <w:uiPriority w:val="34"/>
    <w:qFormat/>
    <w:rsid w:val="00AC661B"/>
    <w:pPr>
      <w:ind w:left="720"/>
      <w:contextualSpacing/>
    </w:pPr>
  </w:style>
  <w:style w:type="character" w:styleId="CommentReference">
    <w:name w:val="annotation reference"/>
    <w:rsid w:val="00B40819"/>
    <w:rPr>
      <w:sz w:val="16"/>
      <w:szCs w:val="16"/>
    </w:rPr>
  </w:style>
  <w:style w:type="paragraph" w:styleId="CommentText">
    <w:name w:val="annotation text"/>
    <w:basedOn w:val="Normal"/>
    <w:link w:val="CommentTextChar"/>
    <w:rsid w:val="00B40819"/>
    <w:rPr>
      <w:sz w:val="20"/>
      <w:szCs w:val="20"/>
    </w:rPr>
  </w:style>
  <w:style w:type="character" w:customStyle="1" w:styleId="CommentTextChar">
    <w:name w:val="Comment Text Char"/>
    <w:basedOn w:val="DefaultParagraphFont"/>
    <w:link w:val="CommentText"/>
    <w:rsid w:val="00B40819"/>
  </w:style>
  <w:style w:type="paragraph" w:styleId="CommentSubject">
    <w:name w:val="annotation subject"/>
    <w:basedOn w:val="CommentText"/>
    <w:next w:val="CommentText"/>
    <w:link w:val="CommentSubjectChar"/>
    <w:rsid w:val="00B40819"/>
    <w:rPr>
      <w:b/>
      <w:bCs/>
    </w:rPr>
  </w:style>
  <w:style w:type="character" w:customStyle="1" w:styleId="CommentSubjectChar">
    <w:name w:val="Comment Subject Char"/>
    <w:link w:val="CommentSubject"/>
    <w:rsid w:val="00B40819"/>
    <w:rPr>
      <w:b/>
      <w:bCs/>
    </w:rPr>
  </w:style>
  <w:style w:type="paragraph" w:styleId="Revision">
    <w:name w:val="Revision"/>
    <w:hidden/>
    <w:uiPriority w:val="99"/>
    <w:semiHidden/>
    <w:rsid w:val="0018562F"/>
    <w:rPr>
      <w:sz w:val="24"/>
      <w:szCs w:val="24"/>
    </w:rPr>
  </w:style>
  <w:style w:type="paragraph" w:customStyle="1" w:styleId="Text1">
    <w:name w:val="Text 1"/>
    <w:basedOn w:val="Normal"/>
    <w:rsid w:val="004C0C25"/>
    <w:pPr>
      <w:spacing w:before="120" w:after="240" w:line="360" w:lineRule="auto"/>
      <w:jc w:val="both"/>
    </w:pPr>
    <w:rPr>
      <w:rFonts w:ascii="Arial" w:eastAsia="Calibri" w:hAnsi="Arial"/>
      <w:sz w:val="22"/>
      <w:szCs w:val="22"/>
    </w:rPr>
  </w:style>
  <w:style w:type="character" w:customStyle="1" w:styleId="PlainTextChar">
    <w:name w:val="Plain Text Char"/>
    <w:link w:val="PlainText"/>
    <w:uiPriority w:val="99"/>
    <w:rsid w:val="0052015B"/>
    <w:rPr>
      <w:rFonts w:ascii="Courier New" w:hAnsi="Courier New" w:cs="Courier New"/>
    </w:rPr>
  </w:style>
  <w:style w:type="paragraph" w:styleId="TOCHeading">
    <w:name w:val="TOC Heading"/>
    <w:basedOn w:val="Heading1"/>
    <w:next w:val="Normal"/>
    <w:uiPriority w:val="39"/>
    <w:semiHidden/>
    <w:unhideWhenUsed/>
    <w:qFormat/>
    <w:rsid w:val="00D6044B"/>
    <w:pPr>
      <w:widowControl/>
      <w:numPr>
        <w:numId w:val="0"/>
      </w:numPr>
      <w:shd w:val="clear" w:color="auto" w:fill="auto"/>
      <w:spacing w:before="480" w:line="276" w:lineRule="auto"/>
      <w:outlineLvl w:val="9"/>
    </w:pPr>
    <w:rPr>
      <w:rFonts w:ascii="Cambria" w:hAnsi="Cambria"/>
      <w:color w:val="365F91"/>
      <w:sz w:val="28"/>
      <w:szCs w:val="28"/>
    </w:rPr>
  </w:style>
  <w:style w:type="table" w:styleId="TableGrid">
    <w:name w:val="Table Grid"/>
    <w:basedOn w:val="TableNormal"/>
    <w:uiPriority w:val="59"/>
    <w:rsid w:val="00BA42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6258">
      <w:bodyDiv w:val="1"/>
      <w:marLeft w:val="0"/>
      <w:marRight w:val="0"/>
      <w:marTop w:val="0"/>
      <w:marBottom w:val="0"/>
      <w:divBdr>
        <w:top w:val="none" w:sz="0" w:space="0" w:color="auto"/>
        <w:left w:val="none" w:sz="0" w:space="0" w:color="auto"/>
        <w:bottom w:val="none" w:sz="0" w:space="0" w:color="auto"/>
        <w:right w:val="none" w:sz="0" w:space="0" w:color="auto"/>
      </w:divBdr>
      <w:divsChild>
        <w:div w:id="966543104">
          <w:marLeft w:val="0"/>
          <w:marRight w:val="0"/>
          <w:marTop w:val="0"/>
          <w:marBottom w:val="0"/>
          <w:divBdr>
            <w:top w:val="none" w:sz="0" w:space="0" w:color="auto"/>
            <w:left w:val="none" w:sz="0" w:space="0" w:color="auto"/>
            <w:bottom w:val="none" w:sz="0" w:space="0" w:color="auto"/>
            <w:right w:val="none" w:sz="0" w:space="0" w:color="auto"/>
          </w:divBdr>
        </w:div>
        <w:div w:id="1831479352">
          <w:marLeft w:val="0"/>
          <w:marRight w:val="0"/>
          <w:marTop w:val="0"/>
          <w:marBottom w:val="0"/>
          <w:divBdr>
            <w:top w:val="none" w:sz="0" w:space="0" w:color="auto"/>
            <w:left w:val="none" w:sz="0" w:space="0" w:color="auto"/>
            <w:bottom w:val="none" w:sz="0" w:space="0" w:color="auto"/>
            <w:right w:val="none" w:sz="0" w:space="0" w:color="auto"/>
          </w:divBdr>
        </w:div>
      </w:divsChild>
    </w:div>
    <w:div w:id="1343438749">
      <w:bodyDiv w:val="1"/>
      <w:marLeft w:val="0"/>
      <w:marRight w:val="0"/>
      <w:marTop w:val="0"/>
      <w:marBottom w:val="0"/>
      <w:divBdr>
        <w:top w:val="none" w:sz="0" w:space="0" w:color="auto"/>
        <w:left w:val="none" w:sz="0" w:space="0" w:color="auto"/>
        <w:bottom w:val="none" w:sz="0" w:space="0" w:color="auto"/>
        <w:right w:val="none" w:sz="0" w:space="0" w:color="auto"/>
      </w:divBdr>
    </w:div>
    <w:div w:id="1346591648">
      <w:bodyDiv w:val="1"/>
      <w:marLeft w:val="0"/>
      <w:marRight w:val="0"/>
      <w:marTop w:val="0"/>
      <w:marBottom w:val="0"/>
      <w:divBdr>
        <w:top w:val="none" w:sz="0" w:space="0" w:color="auto"/>
        <w:left w:val="none" w:sz="0" w:space="0" w:color="auto"/>
        <w:bottom w:val="none" w:sz="0" w:space="0" w:color="auto"/>
        <w:right w:val="none" w:sz="0" w:space="0" w:color="auto"/>
      </w:divBdr>
    </w:div>
    <w:div w:id="1555122208">
      <w:bodyDiv w:val="1"/>
      <w:marLeft w:val="0"/>
      <w:marRight w:val="0"/>
      <w:marTop w:val="0"/>
      <w:marBottom w:val="0"/>
      <w:divBdr>
        <w:top w:val="none" w:sz="0" w:space="0" w:color="auto"/>
        <w:left w:val="none" w:sz="0" w:space="0" w:color="auto"/>
        <w:bottom w:val="none" w:sz="0" w:space="0" w:color="auto"/>
        <w:right w:val="none" w:sz="0" w:space="0" w:color="auto"/>
      </w:divBdr>
    </w:div>
    <w:div w:id="1625696544">
      <w:bodyDiv w:val="1"/>
      <w:marLeft w:val="0"/>
      <w:marRight w:val="0"/>
      <w:marTop w:val="0"/>
      <w:marBottom w:val="0"/>
      <w:divBdr>
        <w:top w:val="none" w:sz="0" w:space="0" w:color="auto"/>
        <w:left w:val="none" w:sz="0" w:space="0" w:color="auto"/>
        <w:bottom w:val="none" w:sz="0" w:space="0" w:color="auto"/>
        <w:right w:val="none" w:sz="0" w:space="0" w:color="auto"/>
      </w:divBdr>
    </w:div>
    <w:div w:id="1666322416">
      <w:bodyDiv w:val="1"/>
      <w:marLeft w:val="0"/>
      <w:marRight w:val="0"/>
      <w:marTop w:val="0"/>
      <w:marBottom w:val="0"/>
      <w:divBdr>
        <w:top w:val="none" w:sz="0" w:space="0" w:color="auto"/>
        <w:left w:val="none" w:sz="0" w:space="0" w:color="auto"/>
        <w:bottom w:val="none" w:sz="0" w:space="0" w:color="auto"/>
        <w:right w:val="none" w:sz="0" w:space="0" w:color="auto"/>
      </w:divBdr>
    </w:div>
    <w:div w:id="1916670366">
      <w:bodyDiv w:val="1"/>
      <w:marLeft w:val="0"/>
      <w:marRight w:val="0"/>
      <w:marTop w:val="0"/>
      <w:marBottom w:val="0"/>
      <w:divBdr>
        <w:top w:val="none" w:sz="0" w:space="0" w:color="auto"/>
        <w:left w:val="none" w:sz="0" w:space="0" w:color="auto"/>
        <w:bottom w:val="none" w:sz="0" w:space="0" w:color="auto"/>
        <w:right w:val="none" w:sz="0" w:space="0" w:color="auto"/>
      </w:divBdr>
    </w:div>
    <w:div w:id="1944073919">
      <w:bodyDiv w:val="1"/>
      <w:marLeft w:val="0"/>
      <w:marRight w:val="0"/>
      <w:marTop w:val="0"/>
      <w:marBottom w:val="0"/>
      <w:divBdr>
        <w:top w:val="none" w:sz="0" w:space="0" w:color="auto"/>
        <w:left w:val="none" w:sz="0" w:space="0" w:color="auto"/>
        <w:bottom w:val="none" w:sz="0" w:space="0" w:color="auto"/>
        <w:right w:val="none" w:sz="0" w:space="0" w:color="auto"/>
      </w:divBdr>
    </w:div>
    <w:div w:id="1984041878">
      <w:bodyDiv w:val="1"/>
      <w:marLeft w:val="0"/>
      <w:marRight w:val="0"/>
      <w:marTop w:val="0"/>
      <w:marBottom w:val="0"/>
      <w:divBdr>
        <w:top w:val="none" w:sz="0" w:space="0" w:color="auto"/>
        <w:left w:val="none" w:sz="0" w:space="0" w:color="auto"/>
        <w:bottom w:val="none" w:sz="0" w:space="0" w:color="auto"/>
        <w:right w:val="none" w:sz="0" w:space="0" w:color="auto"/>
      </w:divBdr>
    </w:div>
    <w:div w:id="210248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3F08-ADA2-4EA1-91CE-9A226C5B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11410</CharactersWithSpaces>
  <SharedDoc>false</SharedDoc>
  <HLinks>
    <vt:vector size="42" baseType="variant">
      <vt:variant>
        <vt:i4>1900603</vt:i4>
      </vt:variant>
      <vt:variant>
        <vt:i4>38</vt:i4>
      </vt:variant>
      <vt:variant>
        <vt:i4>0</vt:i4>
      </vt:variant>
      <vt:variant>
        <vt:i4>5</vt:i4>
      </vt:variant>
      <vt:variant>
        <vt:lpwstr/>
      </vt:variant>
      <vt:variant>
        <vt:lpwstr>_Toc329697891</vt:lpwstr>
      </vt:variant>
      <vt:variant>
        <vt:i4>1900603</vt:i4>
      </vt:variant>
      <vt:variant>
        <vt:i4>32</vt:i4>
      </vt:variant>
      <vt:variant>
        <vt:i4>0</vt:i4>
      </vt:variant>
      <vt:variant>
        <vt:i4>5</vt:i4>
      </vt:variant>
      <vt:variant>
        <vt:lpwstr/>
      </vt:variant>
      <vt:variant>
        <vt:lpwstr>_Toc329697890</vt:lpwstr>
      </vt:variant>
      <vt:variant>
        <vt:i4>1835067</vt:i4>
      </vt:variant>
      <vt:variant>
        <vt:i4>26</vt:i4>
      </vt:variant>
      <vt:variant>
        <vt:i4>0</vt:i4>
      </vt:variant>
      <vt:variant>
        <vt:i4>5</vt:i4>
      </vt:variant>
      <vt:variant>
        <vt:lpwstr/>
      </vt:variant>
      <vt:variant>
        <vt:lpwstr>_Toc329697889</vt:lpwstr>
      </vt:variant>
      <vt:variant>
        <vt:i4>1835067</vt:i4>
      </vt:variant>
      <vt:variant>
        <vt:i4>20</vt:i4>
      </vt:variant>
      <vt:variant>
        <vt:i4>0</vt:i4>
      </vt:variant>
      <vt:variant>
        <vt:i4>5</vt:i4>
      </vt:variant>
      <vt:variant>
        <vt:lpwstr/>
      </vt:variant>
      <vt:variant>
        <vt:lpwstr>_Toc329697888</vt:lpwstr>
      </vt:variant>
      <vt:variant>
        <vt:i4>1835067</vt:i4>
      </vt:variant>
      <vt:variant>
        <vt:i4>14</vt:i4>
      </vt:variant>
      <vt:variant>
        <vt:i4>0</vt:i4>
      </vt:variant>
      <vt:variant>
        <vt:i4>5</vt:i4>
      </vt:variant>
      <vt:variant>
        <vt:lpwstr/>
      </vt:variant>
      <vt:variant>
        <vt:lpwstr>_Toc329697887</vt:lpwstr>
      </vt:variant>
      <vt:variant>
        <vt:i4>1835067</vt:i4>
      </vt:variant>
      <vt:variant>
        <vt:i4>8</vt:i4>
      </vt:variant>
      <vt:variant>
        <vt:i4>0</vt:i4>
      </vt:variant>
      <vt:variant>
        <vt:i4>5</vt:i4>
      </vt:variant>
      <vt:variant>
        <vt:lpwstr/>
      </vt:variant>
      <vt:variant>
        <vt:lpwstr>_Toc329697886</vt:lpwstr>
      </vt:variant>
      <vt:variant>
        <vt:i4>1835067</vt:i4>
      </vt:variant>
      <vt:variant>
        <vt:i4>2</vt:i4>
      </vt:variant>
      <vt:variant>
        <vt:i4>0</vt:i4>
      </vt:variant>
      <vt:variant>
        <vt:i4>5</vt:i4>
      </vt:variant>
      <vt:variant>
        <vt:lpwstr/>
      </vt:variant>
      <vt:variant>
        <vt:lpwstr>_Toc329697885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LMerrill</dc:creator>
  <cp:lastModifiedBy>Kevin Gould</cp:lastModifiedBy>
  <cp:revision>2</cp:revision>
  <cp:lastPrinted>2015-06-15T12:41:00Z</cp:lastPrinted>
  <dcterms:created xsi:type="dcterms:W3CDTF">2018-01-26T15:50:00Z</dcterms:created>
  <dcterms:modified xsi:type="dcterms:W3CDTF">2018-01-26T15:50:00Z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