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4923B" w14:textId="77777777" w:rsidR="007C1397" w:rsidRPr="00FC2D7A" w:rsidRDefault="007C1397" w:rsidP="00C43331">
      <w:pPr>
        <w:pStyle w:val="GRtitle"/>
        <w:tabs>
          <w:tab w:val="clear" w:pos="432"/>
        </w:tabs>
        <w:rPr>
          <w:rFonts w:ascii="Nova Light SSi" w:hAnsi="Nova Light SSi"/>
          <w:smallCaps/>
          <w:noProof w:val="0"/>
          <w:spacing w:val="0"/>
          <w:sz w:val="22"/>
          <w:szCs w:val="22"/>
        </w:rPr>
      </w:pPr>
      <w:bookmarkStart w:id="0" w:name="_GoBack"/>
      <w:bookmarkEnd w:id="0"/>
    </w:p>
    <w:p w14:paraId="24CAC983" w14:textId="77777777" w:rsidR="00B41967" w:rsidRDefault="00B41967" w:rsidP="00C43331">
      <w:pPr>
        <w:pStyle w:val="GRtitle"/>
        <w:tabs>
          <w:tab w:val="clear" w:pos="432"/>
        </w:tabs>
        <w:rPr>
          <w:rFonts w:ascii="Nova Light SSi" w:hAnsi="Nova Light SSi"/>
          <w:smallCaps/>
          <w:noProof w:val="0"/>
          <w:spacing w:val="0"/>
          <w:sz w:val="22"/>
          <w:szCs w:val="22"/>
        </w:rPr>
      </w:pPr>
    </w:p>
    <w:p w14:paraId="12A16588" w14:textId="77777777" w:rsidR="00E35B4F" w:rsidRPr="00FC2D7A" w:rsidRDefault="00E35B4F" w:rsidP="00C43331">
      <w:pPr>
        <w:pStyle w:val="GRtitle"/>
        <w:tabs>
          <w:tab w:val="clear" w:pos="432"/>
        </w:tabs>
        <w:rPr>
          <w:rFonts w:ascii="Nova Light SSi" w:hAnsi="Nova Light SSi"/>
          <w:smallCaps/>
          <w:noProof w:val="0"/>
          <w:spacing w:val="0"/>
          <w:sz w:val="22"/>
          <w:szCs w:val="22"/>
        </w:rPr>
      </w:pPr>
    </w:p>
    <w:p w14:paraId="54C0DC0F" w14:textId="52C3C0F8" w:rsidR="00B41967" w:rsidRPr="00301F77" w:rsidRDefault="00B41967" w:rsidP="00C43331">
      <w:pPr>
        <w:ind w:left="1440"/>
        <w:rPr>
          <w:rFonts w:ascii="Arial Narrow" w:hAnsi="Arial Narrow"/>
          <w:b/>
          <w:sz w:val="28"/>
          <w:szCs w:val="28"/>
        </w:rPr>
      </w:pPr>
      <w:r w:rsidRPr="00301F77">
        <w:rPr>
          <w:rFonts w:ascii="Arial Narrow" w:hAnsi="Arial Narrow"/>
          <w:b/>
          <w:sz w:val="28"/>
          <w:szCs w:val="28"/>
        </w:rPr>
        <w:t>Biennial Report:</w:t>
      </w:r>
      <w:r w:rsidR="006803CD">
        <w:rPr>
          <w:rFonts w:ascii="Arial Narrow" w:hAnsi="Arial Narrow"/>
          <w:b/>
          <w:sz w:val="28"/>
          <w:szCs w:val="28"/>
        </w:rPr>
        <w:t xml:space="preserve"> </w:t>
      </w:r>
      <w:r w:rsidR="004E22AA">
        <w:rPr>
          <w:rFonts w:ascii="Arial Narrow" w:hAnsi="Arial Narrow"/>
          <w:b/>
          <w:sz w:val="28"/>
          <w:szCs w:val="28"/>
        </w:rPr>
        <w:t>2018</w:t>
      </w:r>
      <w:r w:rsidR="00D20FB9">
        <w:rPr>
          <w:rFonts w:ascii="Arial Narrow" w:hAnsi="Arial Narrow"/>
          <w:b/>
          <w:sz w:val="28"/>
          <w:szCs w:val="28"/>
        </w:rPr>
        <w:t>-</w:t>
      </w:r>
      <w:r w:rsidR="004E22AA">
        <w:rPr>
          <w:rFonts w:ascii="Arial Narrow" w:hAnsi="Arial Narrow"/>
          <w:b/>
          <w:sz w:val="28"/>
          <w:szCs w:val="28"/>
        </w:rPr>
        <w:t>2019</w:t>
      </w:r>
    </w:p>
    <w:p w14:paraId="05C71A7F" w14:textId="77777777" w:rsidR="00B41967" w:rsidRPr="00301F77" w:rsidRDefault="00B41967" w:rsidP="00C43331">
      <w:pPr>
        <w:ind w:left="1440"/>
        <w:rPr>
          <w:rFonts w:ascii="Arial Narrow" w:hAnsi="Arial Narrow"/>
          <w:b/>
          <w:sz w:val="28"/>
          <w:szCs w:val="28"/>
        </w:rPr>
      </w:pPr>
    </w:p>
    <w:p w14:paraId="425034F5" w14:textId="77777777" w:rsidR="00B41967" w:rsidRPr="00301F77" w:rsidRDefault="00B41967" w:rsidP="00C43331">
      <w:pPr>
        <w:ind w:left="1440"/>
        <w:rPr>
          <w:rFonts w:ascii="Arial Narrow" w:hAnsi="Arial Narrow"/>
          <w:b/>
          <w:sz w:val="28"/>
          <w:szCs w:val="28"/>
        </w:rPr>
      </w:pPr>
      <w:r w:rsidRPr="00301F77">
        <w:rPr>
          <w:rFonts w:ascii="Arial Narrow" w:hAnsi="Arial Narrow"/>
          <w:b/>
          <w:sz w:val="28"/>
          <w:szCs w:val="28"/>
        </w:rPr>
        <w:t>Massachusetts Enh</w:t>
      </w:r>
      <w:r w:rsidR="00CF1666">
        <w:rPr>
          <w:rFonts w:ascii="Arial Narrow" w:hAnsi="Arial Narrow"/>
          <w:b/>
          <w:sz w:val="28"/>
          <w:szCs w:val="28"/>
        </w:rPr>
        <w:t>anced Emissions and Safety Test</w:t>
      </w:r>
    </w:p>
    <w:p w14:paraId="7CFE7B89" w14:textId="229C6C7B" w:rsidR="00B41967" w:rsidRPr="00301F77" w:rsidRDefault="00B41967" w:rsidP="00C43331">
      <w:pPr>
        <w:ind w:left="1440"/>
        <w:rPr>
          <w:rFonts w:ascii="Arial" w:hAnsi="Arial"/>
          <w:sz w:val="28"/>
          <w:szCs w:val="28"/>
        </w:rPr>
      </w:pPr>
      <w:r w:rsidRPr="00301F77">
        <w:rPr>
          <w:rFonts w:ascii="Arial Narrow" w:hAnsi="Arial Narrow"/>
          <w:b/>
          <w:sz w:val="28"/>
          <w:szCs w:val="28"/>
        </w:rPr>
        <w:t>Inspection and Maintenance Program</w:t>
      </w:r>
    </w:p>
    <w:p w14:paraId="37F11842" w14:textId="77777777" w:rsidR="00B41967" w:rsidRPr="00FC2D7A" w:rsidRDefault="00B41967" w:rsidP="00C43331">
      <w:pPr>
        <w:pStyle w:val="GRtitle"/>
        <w:tabs>
          <w:tab w:val="clear" w:pos="432"/>
        </w:tabs>
        <w:rPr>
          <w:rFonts w:ascii="Nova Light SSi" w:hAnsi="Nova Light SSi"/>
          <w:smallCaps/>
          <w:noProof w:val="0"/>
          <w:spacing w:val="0"/>
          <w:sz w:val="22"/>
          <w:szCs w:val="22"/>
        </w:rPr>
      </w:pPr>
    </w:p>
    <w:p w14:paraId="373C7B96" w14:textId="77777777" w:rsidR="00DA217C" w:rsidRPr="00FC2D7A" w:rsidRDefault="00DA217C" w:rsidP="00C43331">
      <w:pPr>
        <w:pStyle w:val="Title"/>
        <w:rPr>
          <w:sz w:val="22"/>
          <w:szCs w:val="22"/>
        </w:rPr>
        <w:sectPr w:rsidR="00DA217C" w:rsidRPr="00FC2D7A" w:rsidSect="00DA217C">
          <w:headerReference w:type="default" r:id="rId12"/>
          <w:footerReference w:type="even" r:id="rId13"/>
          <w:footerReference w:type="default" r:id="rId14"/>
          <w:headerReference w:type="first" r:id="rId15"/>
          <w:footerReference w:type="first" r:id="rId16"/>
          <w:pgSz w:w="12240" w:h="15840"/>
          <w:pgMar w:top="1440" w:right="1800" w:bottom="1440" w:left="1620" w:header="720" w:footer="720" w:gutter="0"/>
          <w:pgNumType w:start="0"/>
          <w:cols w:space="720"/>
          <w:titlePg/>
          <w:docGrid w:linePitch="360"/>
        </w:sectPr>
      </w:pPr>
    </w:p>
    <w:p w14:paraId="265DFAA4" w14:textId="77777777" w:rsidR="00B41967" w:rsidRPr="00190031" w:rsidRDefault="00CF1666" w:rsidP="00C43331">
      <w:pPr>
        <w:pStyle w:val="Title"/>
      </w:pPr>
      <w:r>
        <w:lastRenderedPageBreak/>
        <w:t>BIENNIAL REPORT</w:t>
      </w:r>
    </w:p>
    <w:p w14:paraId="7E65348D" w14:textId="77777777" w:rsidR="00B41967" w:rsidRPr="00190031" w:rsidRDefault="00B41967" w:rsidP="00C43331">
      <w:pPr>
        <w:pStyle w:val="Title"/>
      </w:pPr>
      <w:r w:rsidRPr="00190031">
        <w:t>MASSACHUSETTS ENHANCED EMISSIONS AND SAFETY TEST</w:t>
      </w:r>
    </w:p>
    <w:p w14:paraId="0B9DF04C" w14:textId="77777777" w:rsidR="00B41967" w:rsidRPr="00190031" w:rsidRDefault="00B41967" w:rsidP="00C43331">
      <w:pPr>
        <w:pStyle w:val="Title"/>
      </w:pPr>
      <w:r w:rsidRPr="00190031">
        <w:t>INSPECTION AND MAINTENANCE PROGRAM</w:t>
      </w:r>
    </w:p>
    <w:p w14:paraId="45185CD0" w14:textId="3C3E4128" w:rsidR="00B41967" w:rsidRPr="00190031" w:rsidRDefault="004E22AA" w:rsidP="00C43331">
      <w:pPr>
        <w:pStyle w:val="Title"/>
      </w:pPr>
      <w:r>
        <w:t>2018</w:t>
      </w:r>
      <w:r w:rsidR="00D20FB9">
        <w:t>-</w:t>
      </w:r>
      <w:r>
        <w:t>2019</w:t>
      </w:r>
    </w:p>
    <w:p w14:paraId="52AD8329" w14:textId="77777777" w:rsidR="00B41967" w:rsidRPr="00190031" w:rsidRDefault="00B41967" w:rsidP="00C43331">
      <w:pPr>
        <w:pStyle w:val="Title"/>
        <w:jc w:val="left"/>
        <w:rPr>
          <w:sz w:val="22"/>
          <w:szCs w:val="22"/>
        </w:rPr>
      </w:pPr>
    </w:p>
    <w:p w14:paraId="658D8F70" w14:textId="77777777" w:rsidR="00B41967" w:rsidRPr="00190031" w:rsidRDefault="00B41967" w:rsidP="00C43331">
      <w:pPr>
        <w:pStyle w:val="Title"/>
        <w:jc w:val="left"/>
        <w:rPr>
          <w:sz w:val="22"/>
          <w:szCs w:val="22"/>
        </w:rPr>
      </w:pPr>
    </w:p>
    <w:p w14:paraId="02C4A9D6" w14:textId="77777777" w:rsidR="00B41967" w:rsidRPr="00190031" w:rsidRDefault="00B41967" w:rsidP="00C43331">
      <w:pPr>
        <w:pStyle w:val="Heading"/>
        <w:rPr>
          <w:bCs/>
        </w:rPr>
      </w:pPr>
      <w:r w:rsidRPr="00190031">
        <w:t>Introduction</w:t>
      </w:r>
    </w:p>
    <w:p w14:paraId="4DB42AAB" w14:textId="2E3385F8" w:rsidR="00B41967" w:rsidRPr="00C3268A" w:rsidRDefault="00820050" w:rsidP="00C43331">
      <w:pPr>
        <w:pStyle w:val="Text"/>
        <w:spacing w:before="0"/>
      </w:pPr>
      <w:r>
        <w:t>The Massachusetts Department of Environmental Protection (</w:t>
      </w:r>
      <w:proofErr w:type="spellStart"/>
      <w:r>
        <w:t>MassDEP</w:t>
      </w:r>
      <w:proofErr w:type="spellEnd"/>
      <w:r>
        <w:t>) has prepared this</w:t>
      </w:r>
      <w:r w:rsidR="00B41967" w:rsidRPr="00190031">
        <w:t xml:space="preserve"> report for the U.S. Environmental Protection Agency (EPA) in compliance with the requirements of 40 CFR 51.366 (e).  The information in this report covers the reporting period of calendar yea</w:t>
      </w:r>
      <w:r w:rsidR="00B41967" w:rsidRPr="00464F37">
        <w:t xml:space="preserve">rs </w:t>
      </w:r>
      <w:r w:rsidR="004E22AA">
        <w:t xml:space="preserve">2018 </w:t>
      </w:r>
      <w:r w:rsidR="00EE01DB">
        <w:t xml:space="preserve">and </w:t>
      </w:r>
      <w:r w:rsidR="004E22AA">
        <w:t>2019</w:t>
      </w:r>
      <w:r w:rsidR="00B41967" w:rsidRPr="00464F37">
        <w:t>, and</w:t>
      </w:r>
      <w:r w:rsidR="00B41967" w:rsidRPr="00190031">
        <w:t xml:space="preserve"> supplements the program information that is contained in the</w:t>
      </w:r>
      <w:r w:rsidR="00B41967" w:rsidRPr="00091CD3">
        <w:t xml:space="preserve"> </w:t>
      </w:r>
      <w:r w:rsidR="004E22AA" w:rsidRPr="00091CD3">
        <w:t>20</w:t>
      </w:r>
      <w:r w:rsidR="004E22AA">
        <w:t>18</w:t>
      </w:r>
      <w:r w:rsidR="004E22AA" w:rsidRPr="00091CD3">
        <w:t xml:space="preserve"> </w:t>
      </w:r>
      <w:r w:rsidR="00B41967" w:rsidRPr="00091CD3">
        <w:t xml:space="preserve">and </w:t>
      </w:r>
      <w:r w:rsidR="004E22AA" w:rsidRPr="00091CD3">
        <w:t>20</w:t>
      </w:r>
      <w:r w:rsidR="004E22AA">
        <w:t>19</w:t>
      </w:r>
      <w:r w:rsidR="004E22AA" w:rsidRPr="00091CD3">
        <w:t xml:space="preserve"> </w:t>
      </w:r>
      <w:r w:rsidR="00B41967" w:rsidRPr="00091CD3">
        <w:t>Annual Reports (these reports are available on the Mass Vehicl</w:t>
      </w:r>
      <w:r w:rsidR="00CF1666">
        <w:t>e Check Program web site:</w:t>
      </w:r>
      <w:r>
        <w:t xml:space="preserve">  </w:t>
      </w:r>
      <w:hyperlink r:id="rId17" w:history="1">
        <w:r w:rsidR="009C3917" w:rsidRPr="007707D9">
          <w:rPr>
            <w:rStyle w:val="Hyperlink"/>
            <w:i/>
            <w:sz w:val="22"/>
            <w:szCs w:val="22"/>
          </w:rPr>
          <w:t>https://www.mavehiclecheck.com/motorists-resources</w:t>
        </w:r>
      </w:hyperlink>
      <w:r w:rsidR="00C3268A" w:rsidRPr="007707D9">
        <w:rPr>
          <w:rStyle w:val="Hyperlink"/>
          <w:sz w:val="22"/>
          <w:szCs w:val="22"/>
          <w:u w:val="none"/>
        </w:rPr>
        <w:t>).</w:t>
      </w:r>
    </w:p>
    <w:p w14:paraId="13D5B73F" w14:textId="0DDB3F38" w:rsidR="007B0C48" w:rsidRDefault="007B0C48" w:rsidP="00C43331">
      <w:pPr>
        <w:pStyle w:val="Text"/>
      </w:pPr>
      <w:r>
        <w:t xml:space="preserve">In June 2020 EPA released “Guidance on Biennial Performance Evaluation Requirements for Enhanced Vehicle Inspection and Maintenance (I/M) Program” which clarifies and updates options for performing biennial performance evaluations.  Due to the timing of its release, </w:t>
      </w:r>
      <w:proofErr w:type="spellStart"/>
      <w:r>
        <w:t>MassDEP</w:t>
      </w:r>
      <w:proofErr w:type="spellEnd"/>
      <w:r>
        <w:t xml:space="preserve"> </w:t>
      </w:r>
      <w:r w:rsidR="008C697F">
        <w:t>wa</w:t>
      </w:r>
      <w:r>
        <w:t xml:space="preserve">s not prepared to implement any of the changes or recommendations </w:t>
      </w:r>
      <w:r w:rsidR="00C80175">
        <w:t>in</w:t>
      </w:r>
      <w:r>
        <w:t xml:space="preserve"> the new guidance </w:t>
      </w:r>
      <w:r w:rsidR="00C80175">
        <w:t>for</w:t>
      </w:r>
      <w:r>
        <w:t xml:space="preserve"> the 2018/2019 biennial report</w:t>
      </w:r>
      <w:r w:rsidR="0018538C">
        <w:t xml:space="preserve"> but will do so for the 2020/2021 biennial report</w:t>
      </w:r>
      <w:r>
        <w:t>.</w:t>
      </w:r>
    </w:p>
    <w:p w14:paraId="08E39D31" w14:textId="77777777" w:rsidR="00B41967" w:rsidRPr="00190031" w:rsidRDefault="00B41967" w:rsidP="00C43331">
      <w:pPr>
        <w:pStyle w:val="Text"/>
      </w:pPr>
      <w:r w:rsidRPr="00091CD3">
        <w:t xml:space="preserve">The Massachusetts Inspection and Maintenance </w:t>
      </w:r>
      <w:r w:rsidR="00500B2F">
        <w:t xml:space="preserve">(I&amp;M) </w:t>
      </w:r>
      <w:r w:rsidRPr="00091CD3">
        <w:t>Program</w:t>
      </w:r>
      <w:r w:rsidR="00F1018D" w:rsidRPr="00091CD3">
        <w:t xml:space="preserve"> </w:t>
      </w:r>
      <w:r w:rsidRPr="00091CD3">
        <w:t>i</w:t>
      </w:r>
      <w:r w:rsidRPr="00190031">
        <w:t>s an important tool for improving air quality in the Commonwealth.  The program also ensures that Massachusetts cars are safe to drive.  The program was established in M.G.L. c. 111, §§</w:t>
      </w:r>
      <w:r w:rsidRPr="00190031">
        <w:rPr>
          <w:spacing w:val="-3"/>
        </w:rPr>
        <w:t>142J and 142M, c.21A, §§2(28) and 16</w:t>
      </w:r>
      <w:r w:rsidR="005A5672">
        <w:rPr>
          <w:spacing w:val="-3"/>
        </w:rPr>
        <w:t xml:space="preserve">, and </w:t>
      </w:r>
      <w:r w:rsidR="005A5672" w:rsidRPr="005A5672">
        <w:rPr>
          <w:spacing w:val="-3"/>
        </w:rPr>
        <w:t>c. 90, §§7A, 7V, 7W, 7X, 7Y, 7Z, 20 and 31</w:t>
      </w:r>
      <w:r w:rsidRPr="00190031">
        <w:rPr>
          <w:spacing w:val="-3"/>
        </w:rPr>
        <w:t xml:space="preserve">. </w:t>
      </w:r>
      <w:r w:rsidRPr="00190031">
        <w:t xml:space="preserve"> Implementing regulations were </w:t>
      </w:r>
      <w:r w:rsidR="00F1018D" w:rsidRPr="00190031">
        <w:t xml:space="preserve">initially </w:t>
      </w:r>
      <w:r w:rsidRPr="00190031">
        <w:t xml:space="preserve">adopted in January 1999 by </w:t>
      </w:r>
      <w:proofErr w:type="spellStart"/>
      <w:r w:rsidRPr="00190031">
        <w:t>MassDEP</w:t>
      </w:r>
      <w:proofErr w:type="spellEnd"/>
      <w:r w:rsidRPr="00190031">
        <w:t xml:space="preserve"> at 310 CMR 60.02</w:t>
      </w:r>
      <w:r w:rsidR="00F1018D" w:rsidRPr="00190031">
        <w:t>,</w:t>
      </w:r>
      <w:r w:rsidRPr="00190031">
        <w:t xml:space="preserve"> and the </w:t>
      </w:r>
      <w:r w:rsidR="00720FB3" w:rsidRPr="00190031">
        <w:t xml:space="preserve">Massachusetts Department of Transportation’s </w:t>
      </w:r>
      <w:r w:rsidRPr="00190031">
        <w:t>Registry of Motor Vehicles</w:t>
      </w:r>
      <w:r w:rsidR="00720FB3">
        <w:t xml:space="preserve"> Division</w:t>
      </w:r>
      <w:r w:rsidRPr="00190031">
        <w:t xml:space="preserve"> </w:t>
      </w:r>
      <w:r w:rsidR="00DA217C">
        <w:t>(</w:t>
      </w:r>
      <w:r w:rsidRPr="00190031">
        <w:t>RMV</w:t>
      </w:r>
      <w:r w:rsidR="00F1018D" w:rsidRPr="00190031">
        <w:t>)</w:t>
      </w:r>
      <w:r w:rsidR="00CF1666">
        <w:t xml:space="preserve"> at 540 CMR 4.00-4.09.</w:t>
      </w:r>
    </w:p>
    <w:p w14:paraId="1F122836" w14:textId="77777777" w:rsidR="00B41967" w:rsidRPr="00190031" w:rsidRDefault="00B41967" w:rsidP="00C43331">
      <w:pPr>
        <w:pStyle w:val="Text"/>
      </w:pPr>
      <w:r w:rsidRPr="00190031">
        <w:t xml:space="preserve">The Massachusetts </w:t>
      </w:r>
      <w:r w:rsidR="00AF15BB" w:rsidRPr="00190031">
        <w:t xml:space="preserve">I&amp;M </w:t>
      </w:r>
      <w:r w:rsidRPr="00190031">
        <w:t xml:space="preserve">Program </w:t>
      </w:r>
      <w:r w:rsidR="00F01E3E" w:rsidRPr="00190031">
        <w:t>is</w:t>
      </w:r>
      <w:r w:rsidRPr="00190031">
        <w:t xml:space="preserve"> d</w:t>
      </w:r>
      <w:r w:rsidR="00CF1666">
        <w:t>esigned to balance three goals:</w:t>
      </w:r>
    </w:p>
    <w:p w14:paraId="169D5711" w14:textId="77777777" w:rsidR="00B41967" w:rsidRPr="00190031" w:rsidRDefault="00B41967" w:rsidP="00C43331">
      <w:pPr>
        <w:pStyle w:val="Table"/>
        <w:numPr>
          <w:ilvl w:val="0"/>
          <w:numId w:val="6"/>
        </w:numPr>
      </w:pPr>
      <w:r w:rsidRPr="00190031">
        <w:rPr>
          <w:i/>
          <w:iCs/>
        </w:rPr>
        <w:t xml:space="preserve">Pollution reductions - </w:t>
      </w:r>
      <w:r w:rsidRPr="00190031">
        <w:t>Vehicles with high emission levels (or in unsafe operating condition) must be identified and repaired using test equipment appropriate for today’s high-tech vehicles.</w:t>
      </w:r>
    </w:p>
    <w:p w14:paraId="2D21EA8A" w14:textId="77777777" w:rsidR="00B41967" w:rsidRPr="00190031" w:rsidRDefault="00B41967" w:rsidP="00C43331">
      <w:pPr>
        <w:pStyle w:val="Table"/>
        <w:numPr>
          <w:ilvl w:val="0"/>
          <w:numId w:val="6"/>
        </w:numPr>
      </w:pPr>
      <w:r w:rsidRPr="00190031">
        <w:rPr>
          <w:i/>
          <w:iCs/>
        </w:rPr>
        <w:t>Motorist convenience</w:t>
      </w:r>
      <w:r w:rsidRPr="00190031">
        <w:t xml:space="preserve"> – The test must be as convenient as possible for Massachusetts motorists.</w:t>
      </w:r>
    </w:p>
    <w:p w14:paraId="092F6EED" w14:textId="77777777" w:rsidR="00B41967" w:rsidRPr="00190031" w:rsidRDefault="00B41967" w:rsidP="00C43331">
      <w:pPr>
        <w:pStyle w:val="Table"/>
        <w:numPr>
          <w:ilvl w:val="0"/>
          <w:numId w:val="6"/>
        </w:numPr>
      </w:pPr>
      <w:r w:rsidRPr="00190031">
        <w:rPr>
          <w:i/>
          <w:iCs/>
        </w:rPr>
        <w:t>Fitting in with the automotive service industry</w:t>
      </w:r>
      <w:r w:rsidRPr="00190031">
        <w:t xml:space="preserve"> – Attractive business opportunities must be provided to the program’s private sector partners: the inspection stations and repair shops that t</w:t>
      </w:r>
      <w:r w:rsidR="00CF1666">
        <w:t>est and fix vehicles.</w:t>
      </w:r>
    </w:p>
    <w:p w14:paraId="7BBF35D0" w14:textId="24A356B8" w:rsidR="00B41967" w:rsidRPr="00190031" w:rsidRDefault="00664AD4" w:rsidP="00C43331">
      <w:pPr>
        <w:pStyle w:val="Text"/>
      </w:pPr>
      <w:proofErr w:type="spellStart"/>
      <w:r w:rsidRPr="00190031">
        <w:t>MassDEP</w:t>
      </w:r>
      <w:proofErr w:type="spellEnd"/>
      <w:r w:rsidRPr="00190031">
        <w:t xml:space="preserve"> and </w:t>
      </w:r>
      <w:r w:rsidR="00985B55" w:rsidRPr="00190031">
        <w:t>RMV</w:t>
      </w:r>
      <w:r w:rsidRPr="00190031">
        <w:t xml:space="preserve"> </w:t>
      </w:r>
      <w:r w:rsidR="00BF2000">
        <w:t xml:space="preserve">(the Agencies) </w:t>
      </w:r>
      <w:r w:rsidRPr="00190031">
        <w:t xml:space="preserve">jointly administer the Massachusetts Vehicle Check Program.  </w:t>
      </w:r>
      <w:r w:rsidR="00913721" w:rsidRPr="00190031">
        <w:t xml:space="preserve">In January 2008, the </w:t>
      </w:r>
      <w:r w:rsidR="00F6598C">
        <w:t>Agencies</w:t>
      </w:r>
      <w:r w:rsidR="00913721" w:rsidRPr="00190031">
        <w:t xml:space="preserve"> contracted with </w:t>
      </w:r>
      <w:r w:rsidR="00913721" w:rsidRPr="00953717">
        <w:t xml:space="preserve">Parsons Environmental &amp; Infrastructure Group Inc. </w:t>
      </w:r>
      <w:r w:rsidR="00913721">
        <w:t xml:space="preserve">(Parsons or Contractor) </w:t>
      </w:r>
      <w:r w:rsidR="00913721" w:rsidRPr="00953717">
        <w:t>to m</w:t>
      </w:r>
      <w:r w:rsidR="00913721" w:rsidRPr="00190031">
        <w:t xml:space="preserve">anage and implement </w:t>
      </w:r>
      <w:proofErr w:type="gramStart"/>
      <w:r w:rsidR="00913721" w:rsidRPr="00190031">
        <w:t>the I</w:t>
      </w:r>
      <w:proofErr w:type="gramEnd"/>
      <w:r w:rsidR="00913721" w:rsidRPr="00190031">
        <w:t>&amp;M Program</w:t>
      </w:r>
      <w:r w:rsidR="00913721">
        <w:t xml:space="preserve">. </w:t>
      </w:r>
      <w:r w:rsidR="00913721" w:rsidRPr="00190031">
        <w:t xml:space="preserve"> </w:t>
      </w:r>
      <w:r w:rsidR="00913721">
        <w:t xml:space="preserve">This contract </w:t>
      </w:r>
      <w:r w:rsidR="003A7103">
        <w:t xml:space="preserve">ended September 30, 2017.  In November 2016, the </w:t>
      </w:r>
      <w:r w:rsidR="00913721">
        <w:t xml:space="preserve">Agencies </w:t>
      </w:r>
      <w:r w:rsidR="003A7103">
        <w:t xml:space="preserve">contracted with </w:t>
      </w:r>
      <w:proofErr w:type="spellStart"/>
      <w:r w:rsidR="003A7103">
        <w:t>Applus</w:t>
      </w:r>
      <w:proofErr w:type="spellEnd"/>
      <w:r w:rsidR="003A7103">
        <w:t xml:space="preserve"> Technologies </w:t>
      </w:r>
      <w:r w:rsidR="00850358">
        <w:t>(</w:t>
      </w:r>
      <w:proofErr w:type="spellStart"/>
      <w:r w:rsidR="00850358">
        <w:t>Applus</w:t>
      </w:r>
      <w:proofErr w:type="spellEnd"/>
      <w:r w:rsidR="00850358">
        <w:t xml:space="preserve"> or Contractor) </w:t>
      </w:r>
      <w:r w:rsidR="003A7103">
        <w:t>to manage and implement the program starting on October 1, 2017.</w:t>
      </w:r>
      <w:r w:rsidR="00D05B68" w:rsidRPr="00190031">
        <w:t xml:space="preserve"> </w:t>
      </w:r>
      <w:r w:rsidR="00BD0C69">
        <w:t xml:space="preserve"> </w:t>
      </w:r>
      <w:r w:rsidR="00913721">
        <w:t xml:space="preserve">Contractor responsibilities include </w:t>
      </w:r>
      <w:r w:rsidR="00D05B68" w:rsidRPr="00190031">
        <w:t xml:space="preserve">developing and managing the Inspection Station network; developing and implementing inspection protocols; and acquiring, providing, </w:t>
      </w:r>
      <w:r w:rsidR="00D05B68" w:rsidRPr="00190031">
        <w:lastRenderedPageBreak/>
        <w:t xml:space="preserve">and maintaining inspection station </w:t>
      </w:r>
      <w:r w:rsidR="00985B55" w:rsidRPr="00190031">
        <w:t>workstations</w:t>
      </w:r>
      <w:r w:rsidR="00D05B68" w:rsidRPr="00190031">
        <w:t xml:space="preserve"> and data systems.  The Contractor also trains inspectors and repairers and provides communications to the public, inspectors, and repairers.</w:t>
      </w:r>
      <w:r w:rsidR="00F0057D" w:rsidRPr="00190031">
        <w:t xml:space="preserve">  </w:t>
      </w:r>
      <w:r w:rsidRPr="00190031">
        <w:t>E</w:t>
      </w:r>
      <w:r w:rsidR="00B41967" w:rsidRPr="00190031">
        <w:t xml:space="preserve">missions and safety inspections </w:t>
      </w:r>
      <w:r w:rsidRPr="00190031">
        <w:t>are</w:t>
      </w:r>
      <w:r w:rsidR="00B41967" w:rsidRPr="00190031">
        <w:t xml:space="preserve"> performed through a decentralized network of </w:t>
      </w:r>
      <w:r w:rsidR="00EE38D8" w:rsidRPr="00190031">
        <w:t xml:space="preserve">public </w:t>
      </w:r>
      <w:r w:rsidR="00B41967" w:rsidRPr="00190031">
        <w:t xml:space="preserve">inspection stations.  </w:t>
      </w:r>
      <w:r w:rsidR="00985B55" w:rsidRPr="00190031">
        <w:t xml:space="preserve">Inspection </w:t>
      </w:r>
      <w:r w:rsidR="00B41967" w:rsidRPr="00190031">
        <w:t>stations and individual inspectors are licensed by RMV</w:t>
      </w:r>
      <w:r w:rsidR="000C1067" w:rsidRPr="00190031">
        <w:t xml:space="preserve">.  </w:t>
      </w:r>
      <w:r w:rsidR="00B41967" w:rsidRPr="00190031">
        <w:t xml:space="preserve">This network is supplemented by </w:t>
      </w:r>
      <w:r w:rsidR="00F1058E" w:rsidRPr="00190031">
        <w:t>stations that</w:t>
      </w:r>
      <w:r w:rsidR="00B41967" w:rsidRPr="00190031">
        <w:t xml:space="preserve"> are specially licensed to conduct inspections for vehic</w:t>
      </w:r>
      <w:r w:rsidR="00CF1666">
        <w:t>le fleets.</w:t>
      </w:r>
    </w:p>
    <w:p w14:paraId="718063D8" w14:textId="77777777" w:rsidR="00B41967" w:rsidRPr="00190031" w:rsidRDefault="00944555" w:rsidP="00C43331">
      <w:pPr>
        <w:pStyle w:val="Text"/>
      </w:pPr>
      <w:r w:rsidRPr="00190031">
        <w:t>Since</w:t>
      </w:r>
      <w:r w:rsidR="00F1058E" w:rsidRPr="00190031">
        <w:t xml:space="preserve"> </w:t>
      </w:r>
      <w:r w:rsidR="00B41967" w:rsidRPr="00190031">
        <w:t xml:space="preserve">October 1, 2008, </w:t>
      </w:r>
      <w:r w:rsidR="00F1058E" w:rsidRPr="00190031">
        <w:t xml:space="preserve">the program </w:t>
      </w:r>
      <w:r w:rsidR="0083604E" w:rsidRPr="00190031">
        <w:t xml:space="preserve">has employed </w:t>
      </w:r>
      <w:r w:rsidR="00B41967" w:rsidRPr="00190031">
        <w:t xml:space="preserve">only </w:t>
      </w:r>
      <w:r w:rsidR="0016470E">
        <w:t>on-board d</w:t>
      </w:r>
      <w:r w:rsidR="00720FB3">
        <w:t>iagnostic (</w:t>
      </w:r>
      <w:r w:rsidR="00B41967" w:rsidRPr="00190031">
        <w:t>OBD</w:t>
      </w:r>
      <w:r w:rsidR="00720FB3">
        <w:t>)</w:t>
      </w:r>
      <w:r w:rsidR="00B41967" w:rsidRPr="00190031">
        <w:t xml:space="preserve"> testing for all vehicles required to receive an emissions test, with the exception of</w:t>
      </w:r>
      <w:r w:rsidR="002D560E" w:rsidRPr="00190031">
        <w:t xml:space="preserve"> </w:t>
      </w:r>
      <w:r w:rsidR="00B41967" w:rsidRPr="00190031">
        <w:t>diesel vehicles</w:t>
      </w:r>
      <w:r w:rsidR="0083604E" w:rsidRPr="00190031">
        <w:t xml:space="preserve"> with a Gross Vehicle Weight Rating (GVWR) </w:t>
      </w:r>
      <w:r w:rsidR="00C55A76" w:rsidRPr="00190031">
        <w:t xml:space="preserve">greater than or equal to </w:t>
      </w:r>
      <w:r w:rsidR="0083604E" w:rsidRPr="00190031">
        <w:t>10,000</w:t>
      </w:r>
      <w:r w:rsidR="00B41967" w:rsidRPr="00190031">
        <w:t xml:space="preserve"> </w:t>
      </w:r>
      <w:r w:rsidR="00C55A76" w:rsidRPr="00190031">
        <w:t xml:space="preserve">pounds </w:t>
      </w:r>
      <w:r w:rsidR="00B41967" w:rsidRPr="00190031">
        <w:t xml:space="preserve">that are not equipped with OBD.  </w:t>
      </w:r>
      <w:r w:rsidR="00F01E3E" w:rsidRPr="00190031">
        <w:t>T</w:t>
      </w:r>
      <w:r w:rsidR="00C55A76" w:rsidRPr="00190031">
        <w:t xml:space="preserve">hese </w:t>
      </w:r>
      <w:r w:rsidR="00B41967" w:rsidRPr="00190031">
        <w:t>diesel vehicles receive an opacity test</w:t>
      </w:r>
      <w:r w:rsidR="00276C31">
        <w:t xml:space="preserve"> based on the SAE J-1667 Snap Acceleration Smoke Test Procedure</w:t>
      </w:r>
      <w:r w:rsidR="00CF1666">
        <w:t>.</w:t>
      </w:r>
    </w:p>
    <w:p w14:paraId="65835C43" w14:textId="77777777" w:rsidR="000A59BC" w:rsidRPr="00190031" w:rsidRDefault="000A59BC" w:rsidP="00C43331">
      <w:pPr>
        <w:pStyle w:val="Text"/>
      </w:pPr>
      <w:r w:rsidRPr="00190031">
        <w:t xml:space="preserve">To help motorists </w:t>
      </w:r>
      <w:r w:rsidR="00A02494">
        <w:t>whose vehicles</w:t>
      </w:r>
      <w:r w:rsidR="005A78ED" w:rsidRPr="00190031">
        <w:t xml:space="preserve"> </w:t>
      </w:r>
      <w:r w:rsidRPr="00190031">
        <w:t xml:space="preserve">need emissions repairs, the program includes a network of registered repair technicians who are specially trained to diagnose emissions problems and repair modern vehicles effectively.  </w:t>
      </w:r>
      <w:r w:rsidR="00F1058E" w:rsidRPr="00190031">
        <w:rPr>
          <w:iCs/>
        </w:rPr>
        <w:t>The Program provide</w:t>
      </w:r>
      <w:r w:rsidRPr="00190031">
        <w:rPr>
          <w:iCs/>
        </w:rPr>
        <w:t>s</w:t>
      </w:r>
      <w:r w:rsidR="00F1058E" w:rsidRPr="00190031">
        <w:rPr>
          <w:iCs/>
        </w:rPr>
        <w:t xml:space="preserve"> </w:t>
      </w:r>
      <w:r w:rsidR="00B41967" w:rsidRPr="00190031">
        <w:rPr>
          <w:iCs/>
        </w:rPr>
        <w:t>w</w:t>
      </w:r>
      <w:r w:rsidR="00B41967" w:rsidRPr="00190031">
        <w:t xml:space="preserve">aivers of emission standards if some repairs are </w:t>
      </w:r>
      <w:r w:rsidRPr="00190031">
        <w:t>completed by a registered repairer, the repair expenditures exceed program requirements</w:t>
      </w:r>
      <w:r w:rsidR="005E3B9B" w:rsidRPr="00190031">
        <w:t>,</w:t>
      </w:r>
      <w:r w:rsidRPr="00190031">
        <w:t xml:space="preserve"> </w:t>
      </w:r>
      <w:r w:rsidR="00B41967" w:rsidRPr="00190031">
        <w:t>and ce</w:t>
      </w:r>
      <w:r w:rsidR="00FF75A0">
        <w:t>rtain other conditions are met.</w:t>
      </w:r>
    </w:p>
    <w:p w14:paraId="7B776DD9" w14:textId="77777777" w:rsidR="000A59BC" w:rsidRPr="00190031" w:rsidRDefault="001543C5" w:rsidP="00C43331">
      <w:pPr>
        <w:pStyle w:val="Text"/>
      </w:pPr>
      <w:r w:rsidRPr="00190031">
        <w:t>For vehicles that failed the emissions test and require replacement of a major (and expensive) component</w:t>
      </w:r>
      <w:r w:rsidR="00483245" w:rsidRPr="00190031">
        <w:t>(s)</w:t>
      </w:r>
      <w:r w:rsidRPr="00190031">
        <w:t xml:space="preserve"> to pass, a one-</w:t>
      </w:r>
      <w:r w:rsidR="005E3B9B" w:rsidRPr="00190031">
        <w:t>time</w:t>
      </w:r>
      <w:r w:rsidRPr="00190031">
        <w:t xml:space="preserve"> </w:t>
      </w:r>
      <w:r w:rsidR="000A59BC" w:rsidRPr="00190031">
        <w:t xml:space="preserve">economic hardship exemption </w:t>
      </w:r>
      <w:r w:rsidRPr="00190031">
        <w:t>is available</w:t>
      </w:r>
      <w:r w:rsidR="005E3B9B" w:rsidRPr="00190031">
        <w:t xml:space="preserve"> that gives</w:t>
      </w:r>
      <w:r w:rsidRPr="00190031">
        <w:t xml:space="preserve"> the vehicle owner one year to finance repairs or replace the vehicle.</w:t>
      </w:r>
    </w:p>
    <w:p w14:paraId="2FBE132C" w14:textId="29684059" w:rsidR="003A57FF" w:rsidRDefault="00B41967" w:rsidP="00C43331">
      <w:pPr>
        <w:pStyle w:val="Text"/>
      </w:pPr>
      <w:r w:rsidRPr="00190031">
        <w:t>Table 1 provides statistics describing the Massachusetts Inspection and Maintenance Program “at a glance” in</w:t>
      </w:r>
      <w:r w:rsidRPr="00091CD3">
        <w:t xml:space="preserve"> </w:t>
      </w:r>
      <w:r w:rsidR="004E22AA" w:rsidRPr="00091CD3">
        <w:t>20</w:t>
      </w:r>
      <w:r w:rsidR="004E22AA">
        <w:t>18</w:t>
      </w:r>
      <w:r w:rsidR="004E22AA" w:rsidRPr="00091CD3">
        <w:t xml:space="preserve"> </w:t>
      </w:r>
      <w:r w:rsidR="00EE01DB" w:rsidRPr="00091CD3">
        <w:t xml:space="preserve">and </w:t>
      </w:r>
      <w:r w:rsidR="004E22AA" w:rsidRPr="00091CD3">
        <w:t>20</w:t>
      </w:r>
      <w:r w:rsidR="004E22AA">
        <w:t>19</w:t>
      </w:r>
      <w:r w:rsidRPr="00091CD3">
        <w:t>.</w:t>
      </w:r>
    </w:p>
    <w:p w14:paraId="29F243D8" w14:textId="77777777" w:rsidR="003A57FF" w:rsidRDefault="003A57FF">
      <w:r>
        <w:br w:type="page"/>
      </w:r>
    </w:p>
    <w:p w14:paraId="4E218C89" w14:textId="77777777" w:rsidR="00C333ED" w:rsidRPr="00190031" w:rsidRDefault="00934A59" w:rsidP="00C43331">
      <w:pPr>
        <w:keepNext/>
        <w:keepLines/>
        <w:jc w:val="center"/>
        <w:rPr>
          <w:b/>
        </w:rPr>
      </w:pPr>
      <w:r w:rsidRPr="00190031">
        <w:rPr>
          <w:b/>
        </w:rPr>
        <w:lastRenderedPageBreak/>
        <w:t xml:space="preserve">Table 1: </w:t>
      </w:r>
      <w:r w:rsidR="00C333ED" w:rsidRPr="00190031">
        <w:rPr>
          <w:b/>
        </w:rPr>
        <w:t>Summary Statistics: Massachusetts Ins</w:t>
      </w:r>
      <w:r w:rsidR="00CF1666">
        <w:rPr>
          <w:b/>
        </w:rPr>
        <w:t>pection and Maintenance Program</w:t>
      </w:r>
    </w:p>
    <w:p w14:paraId="78194027" w14:textId="5CB4F2DC" w:rsidR="00EE01DB" w:rsidRPr="006A279A" w:rsidRDefault="004E22AA" w:rsidP="00C43331">
      <w:pPr>
        <w:keepNext/>
        <w:keepLines/>
        <w:spacing w:after="120"/>
        <w:jc w:val="center"/>
        <w:rPr>
          <w:b/>
        </w:rPr>
      </w:pPr>
      <w:r w:rsidRPr="006A279A">
        <w:rPr>
          <w:b/>
        </w:rPr>
        <w:t>201</w:t>
      </w:r>
      <w:r>
        <w:rPr>
          <w:b/>
        </w:rPr>
        <w:t>8</w:t>
      </w:r>
      <w:r w:rsidRPr="006A279A">
        <w:rPr>
          <w:b/>
        </w:rPr>
        <w:t xml:space="preserve"> </w:t>
      </w:r>
      <w:r w:rsidR="00EE01DB" w:rsidRPr="006A279A">
        <w:rPr>
          <w:b/>
        </w:rPr>
        <w:t xml:space="preserve">and </w:t>
      </w:r>
      <w:r w:rsidRPr="006A279A">
        <w:rPr>
          <w:b/>
        </w:rPr>
        <w:t>201</w:t>
      </w:r>
      <w:r>
        <w:rPr>
          <w:b/>
        </w:rPr>
        <w:t>9</w:t>
      </w:r>
    </w:p>
    <w:p w14:paraId="7BBF16F1" w14:textId="77777777" w:rsidR="00850358" w:rsidRDefault="00850358">
      <w:pPr>
        <w:rPr>
          <w:b/>
          <w:bCs/>
          <w:sz w:val="22"/>
          <w:szCs w:val="22"/>
          <w:highlight w:val="yellow"/>
        </w:rPr>
      </w:pPr>
    </w:p>
    <w:tbl>
      <w:tblPr>
        <w:tblpPr w:leftFromText="180" w:rightFromText="180" w:vertAnchor="text" w:horzAnchor="margin" w:tblpY="35"/>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770"/>
        <w:gridCol w:w="1350"/>
        <w:gridCol w:w="1350"/>
      </w:tblGrid>
      <w:tr w:rsidR="00293511" w:rsidRPr="0028399E" w14:paraId="73070C70" w14:textId="77777777" w:rsidTr="00913721">
        <w:trPr>
          <w:cantSplit/>
          <w:tblHeader/>
        </w:trPr>
        <w:tc>
          <w:tcPr>
            <w:tcW w:w="1908" w:type="dxa"/>
            <w:tcBorders>
              <w:bottom w:val="single" w:sz="4" w:space="0" w:color="auto"/>
            </w:tcBorders>
          </w:tcPr>
          <w:p w14:paraId="6CE028A3" w14:textId="77777777" w:rsidR="00293511" w:rsidRPr="0028399E" w:rsidRDefault="00293511" w:rsidP="00913721">
            <w:pPr>
              <w:keepNext/>
              <w:keepLines/>
              <w:rPr>
                <w:b/>
              </w:rPr>
            </w:pPr>
          </w:p>
        </w:tc>
        <w:tc>
          <w:tcPr>
            <w:tcW w:w="4770" w:type="dxa"/>
            <w:tcBorders>
              <w:bottom w:val="single" w:sz="4" w:space="0" w:color="auto"/>
            </w:tcBorders>
          </w:tcPr>
          <w:p w14:paraId="6E83F69D" w14:textId="77777777" w:rsidR="00293511" w:rsidRPr="0028399E" w:rsidRDefault="00293511" w:rsidP="00913721">
            <w:pPr>
              <w:keepNext/>
              <w:keepLines/>
              <w:rPr>
                <w:b/>
              </w:rPr>
            </w:pPr>
          </w:p>
          <w:p w14:paraId="5798D98C" w14:textId="77777777" w:rsidR="00293511" w:rsidRPr="0028399E" w:rsidRDefault="00293511" w:rsidP="00913721">
            <w:pPr>
              <w:keepNext/>
              <w:keepLines/>
              <w:rPr>
                <w:b/>
              </w:rPr>
            </w:pPr>
            <w:r w:rsidRPr="0028399E">
              <w:rPr>
                <w:b/>
              </w:rPr>
              <w:t>PROGRAM COMPONENT</w:t>
            </w:r>
          </w:p>
        </w:tc>
        <w:tc>
          <w:tcPr>
            <w:tcW w:w="1350" w:type="dxa"/>
            <w:tcBorders>
              <w:bottom w:val="single" w:sz="4" w:space="0" w:color="auto"/>
            </w:tcBorders>
          </w:tcPr>
          <w:p w14:paraId="1DDEBB16" w14:textId="77777777" w:rsidR="00293511" w:rsidRDefault="00133A67" w:rsidP="00913721">
            <w:pPr>
              <w:keepNext/>
              <w:keepLines/>
              <w:jc w:val="right"/>
              <w:rPr>
                <w:b/>
              </w:rPr>
            </w:pPr>
            <w:r>
              <w:rPr>
                <w:b/>
              </w:rPr>
              <w:t>2018</w:t>
            </w:r>
          </w:p>
          <w:p w14:paraId="04BBEBB3" w14:textId="77777777" w:rsidR="00293511" w:rsidRDefault="00293511" w:rsidP="00913721">
            <w:pPr>
              <w:keepNext/>
              <w:keepLines/>
              <w:jc w:val="right"/>
              <w:rPr>
                <w:b/>
              </w:rPr>
            </w:pPr>
            <w:r>
              <w:rPr>
                <w:b/>
              </w:rPr>
              <w:t>TOTAL</w:t>
            </w:r>
          </w:p>
        </w:tc>
        <w:tc>
          <w:tcPr>
            <w:tcW w:w="1350" w:type="dxa"/>
            <w:tcBorders>
              <w:bottom w:val="single" w:sz="4" w:space="0" w:color="auto"/>
            </w:tcBorders>
          </w:tcPr>
          <w:p w14:paraId="384DE80D" w14:textId="77777777" w:rsidR="00293511" w:rsidRDefault="00133A67" w:rsidP="00913721">
            <w:pPr>
              <w:keepNext/>
              <w:keepLines/>
              <w:jc w:val="right"/>
              <w:rPr>
                <w:b/>
              </w:rPr>
            </w:pPr>
            <w:r>
              <w:rPr>
                <w:b/>
              </w:rPr>
              <w:t>2019</w:t>
            </w:r>
          </w:p>
          <w:p w14:paraId="1FCC1324" w14:textId="77777777" w:rsidR="00293511" w:rsidRPr="0028399E" w:rsidRDefault="00293511" w:rsidP="00913721">
            <w:pPr>
              <w:keepNext/>
              <w:keepLines/>
              <w:jc w:val="right"/>
              <w:rPr>
                <w:b/>
              </w:rPr>
            </w:pPr>
            <w:r>
              <w:rPr>
                <w:b/>
              </w:rPr>
              <w:t>TOTAL</w:t>
            </w:r>
          </w:p>
        </w:tc>
      </w:tr>
      <w:tr w:rsidR="00133A67" w:rsidRPr="0028399E" w14:paraId="589AD1AB" w14:textId="77777777" w:rsidTr="00913721">
        <w:trPr>
          <w:cantSplit/>
        </w:trPr>
        <w:tc>
          <w:tcPr>
            <w:tcW w:w="1908" w:type="dxa"/>
            <w:tcBorders>
              <w:left w:val="single" w:sz="4" w:space="0" w:color="auto"/>
              <w:bottom w:val="nil"/>
            </w:tcBorders>
          </w:tcPr>
          <w:p w14:paraId="70752603" w14:textId="77777777" w:rsidR="00133A67" w:rsidRPr="0028399E" w:rsidRDefault="00133A67" w:rsidP="00133A67">
            <w:pPr>
              <w:keepNext/>
              <w:keepLines/>
              <w:rPr>
                <w:b/>
              </w:rPr>
            </w:pPr>
            <w:r w:rsidRPr="0028399E">
              <w:rPr>
                <w:b/>
              </w:rPr>
              <w:t>Vehicles</w:t>
            </w:r>
          </w:p>
        </w:tc>
        <w:tc>
          <w:tcPr>
            <w:tcW w:w="4770" w:type="dxa"/>
            <w:tcBorders>
              <w:left w:val="single" w:sz="4" w:space="0" w:color="auto"/>
            </w:tcBorders>
          </w:tcPr>
          <w:p w14:paraId="59402EB5" w14:textId="11B301E0" w:rsidR="00133A67" w:rsidRPr="00F6598C" w:rsidRDefault="00133A67" w:rsidP="00133A67">
            <w:pPr>
              <w:keepNext/>
              <w:keepLines/>
              <w:rPr>
                <w:sz w:val="22"/>
                <w:szCs w:val="22"/>
              </w:rPr>
            </w:pPr>
            <w:r w:rsidRPr="00F6598C">
              <w:rPr>
                <w:sz w:val="22"/>
                <w:szCs w:val="22"/>
              </w:rPr>
              <w:t>Number of vehicles in the Massachusetts fleet</w:t>
            </w:r>
          </w:p>
        </w:tc>
        <w:tc>
          <w:tcPr>
            <w:tcW w:w="1350" w:type="dxa"/>
          </w:tcPr>
          <w:p w14:paraId="0E4CCC12" w14:textId="77777777" w:rsidR="00133A67" w:rsidRDefault="00133A67" w:rsidP="00133A67">
            <w:pPr>
              <w:jc w:val="right"/>
            </w:pPr>
            <w:r>
              <w:t>5.08 million</w:t>
            </w:r>
          </w:p>
        </w:tc>
        <w:tc>
          <w:tcPr>
            <w:tcW w:w="1350" w:type="dxa"/>
          </w:tcPr>
          <w:p w14:paraId="333D7ABF" w14:textId="77777777" w:rsidR="00133A67" w:rsidRDefault="00133A67" w:rsidP="00133A67">
            <w:pPr>
              <w:jc w:val="right"/>
            </w:pPr>
            <w:r>
              <w:t>5.12 million</w:t>
            </w:r>
          </w:p>
        </w:tc>
      </w:tr>
      <w:tr w:rsidR="00133A67" w:rsidRPr="002C149D" w14:paraId="083C36B3" w14:textId="77777777" w:rsidTr="00913721">
        <w:trPr>
          <w:cantSplit/>
        </w:trPr>
        <w:tc>
          <w:tcPr>
            <w:tcW w:w="1908" w:type="dxa"/>
            <w:tcBorders>
              <w:top w:val="nil"/>
              <w:left w:val="single" w:sz="4" w:space="0" w:color="auto"/>
              <w:bottom w:val="nil"/>
            </w:tcBorders>
          </w:tcPr>
          <w:p w14:paraId="466A769F" w14:textId="77777777" w:rsidR="00133A67" w:rsidRPr="0028399E" w:rsidRDefault="00133A67" w:rsidP="00133A67">
            <w:pPr>
              <w:keepNext/>
              <w:keepLines/>
              <w:rPr>
                <w:b/>
              </w:rPr>
            </w:pPr>
            <w:r w:rsidRPr="0028399E">
              <w:rPr>
                <w:b/>
              </w:rPr>
              <w:t>and</w:t>
            </w:r>
          </w:p>
          <w:p w14:paraId="7D558202" w14:textId="77777777" w:rsidR="00133A67" w:rsidRPr="0028399E" w:rsidRDefault="00133A67" w:rsidP="00133A67">
            <w:pPr>
              <w:keepNext/>
              <w:keepLines/>
              <w:rPr>
                <w:b/>
              </w:rPr>
            </w:pPr>
            <w:r w:rsidRPr="0028399E">
              <w:rPr>
                <w:b/>
              </w:rPr>
              <w:t>Inspections</w:t>
            </w:r>
          </w:p>
        </w:tc>
        <w:tc>
          <w:tcPr>
            <w:tcW w:w="4770" w:type="dxa"/>
            <w:tcBorders>
              <w:left w:val="single" w:sz="4" w:space="0" w:color="auto"/>
            </w:tcBorders>
          </w:tcPr>
          <w:p w14:paraId="5469752C" w14:textId="1B5B975D" w:rsidR="00133A67" w:rsidRPr="00F6598C" w:rsidRDefault="00133A67" w:rsidP="00133A67">
            <w:pPr>
              <w:keepNext/>
              <w:keepLines/>
              <w:rPr>
                <w:sz w:val="22"/>
                <w:szCs w:val="22"/>
              </w:rPr>
            </w:pPr>
            <w:r w:rsidRPr="00F6598C">
              <w:rPr>
                <w:sz w:val="22"/>
                <w:szCs w:val="22"/>
              </w:rPr>
              <w:t>Number of unique vehicles tested for safety or for safety and emissions</w:t>
            </w:r>
          </w:p>
        </w:tc>
        <w:tc>
          <w:tcPr>
            <w:tcW w:w="1350" w:type="dxa"/>
          </w:tcPr>
          <w:p w14:paraId="3FB4EB65" w14:textId="506F24C9" w:rsidR="00133A67" w:rsidRPr="00376204" w:rsidRDefault="00133A67" w:rsidP="00BD0C69">
            <w:pPr>
              <w:jc w:val="right"/>
            </w:pPr>
            <w:r w:rsidRPr="00A74ABA">
              <w:t>4,798,387</w:t>
            </w:r>
          </w:p>
        </w:tc>
        <w:tc>
          <w:tcPr>
            <w:tcW w:w="1350" w:type="dxa"/>
          </w:tcPr>
          <w:p w14:paraId="1AB76220" w14:textId="77777777" w:rsidR="00133A67" w:rsidRPr="002C149D" w:rsidRDefault="00133A67" w:rsidP="00133A67">
            <w:pPr>
              <w:jc w:val="right"/>
            </w:pPr>
            <w:r>
              <w:t>4,840,149</w:t>
            </w:r>
          </w:p>
        </w:tc>
      </w:tr>
      <w:tr w:rsidR="00133A67" w:rsidRPr="0028399E" w14:paraId="79A2D889" w14:textId="77777777" w:rsidTr="00913721">
        <w:trPr>
          <w:cantSplit/>
        </w:trPr>
        <w:tc>
          <w:tcPr>
            <w:tcW w:w="1908" w:type="dxa"/>
            <w:tcBorders>
              <w:top w:val="nil"/>
              <w:left w:val="single" w:sz="4" w:space="0" w:color="auto"/>
              <w:bottom w:val="nil"/>
            </w:tcBorders>
          </w:tcPr>
          <w:p w14:paraId="090B390A" w14:textId="77777777" w:rsidR="00133A67" w:rsidRPr="0028399E" w:rsidRDefault="00133A67" w:rsidP="00133A67"/>
        </w:tc>
        <w:tc>
          <w:tcPr>
            <w:tcW w:w="4770" w:type="dxa"/>
            <w:tcBorders>
              <w:left w:val="single" w:sz="4" w:space="0" w:color="auto"/>
            </w:tcBorders>
          </w:tcPr>
          <w:p w14:paraId="0E97D71A" w14:textId="77777777" w:rsidR="00133A67" w:rsidRPr="00F6598C" w:rsidRDefault="00133A67" w:rsidP="00133A67">
            <w:pPr>
              <w:rPr>
                <w:sz w:val="22"/>
                <w:szCs w:val="22"/>
              </w:rPr>
            </w:pPr>
            <w:r w:rsidRPr="00F6598C">
              <w:rPr>
                <w:sz w:val="22"/>
                <w:szCs w:val="22"/>
              </w:rPr>
              <w:t>Number of unique vehicles receiving an initial emissions test</w:t>
            </w:r>
          </w:p>
        </w:tc>
        <w:tc>
          <w:tcPr>
            <w:tcW w:w="1350" w:type="dxa"/>
          </w:tcPr>
          <w:p w14:paraId="61EA91AD" w14:textId="726ABCA0" w:rsidR="00133A67" w:rsidRDefault="00133A67" w:rsidP="00BD0C69">
            <w:pPr>
              <w:jc w:val="right"/>
            </w:pPr>
            <w:r w:rsidRPr="000438E0">
              <w:t>3,830,940</w:t>
            </w:r>
          </w:p>
        </w:tc>
        <w:tc>
          <w:tcPr>
            <w:tcW w:w="1350" w:type="dxa"/>
          </w:tcPr>
          <w:p w14:paraId="7EE38644" w14:textId="77777777" w:rsidR="00133A67" w:rsidRDefault="00133A67" w:rsidP="00133A67">
            <w:pPr>
              <w:jc w:val="right"/>
            </w:pPr>
            <w:r w:rsidRPr="008F60D2">
              <w:t>3,744,574</w:t>
            </w:r>
          </w:p>
        </w:tc>
      </w:tr>
      <w:tr w:rsidR="00133A67" w:rsidRPr="0028399E" w14:paraId="32F6C46C" w14:textId="77777777" w:rsidTr="00913721">
        <w:trPr>
          <w:cantSplit/>
          <w:trHeight w:val="638"/>
        </w:trPr>
        <w:tc>
          <w:tcPr>
            <w:tcW w:w="1908" w:type="dxa"/>
            <w:tcBorders>
              <w:top w:val="nil"/>
              <w:left w:val="single" w:sz="4" w:space="0" w:color="auto"/>
              <w:bottom w:val="nil"/>
            </w:tcBorders>
          </w:tcPr>
          <w:p w14:paraId="7759E718" w14:textId="77777777" w:rsidR="00133A67" w:rsidRPr="0028399E" w:rsidRDefault="00133A67" w:rsidP="00133A67"/>
        </w:tc>
        <w:tc>
          <w:tcPr>
            <w:tcW w:w="4770" w:type="dxa"/>
            <w:tcBorders>
              <w:left w:val="single" w:sz="4" w:space="0" w:color="auto"/>
              <w:bottom w:val="nil"/>
            </w:tcBorders>
          </w:tcPr>
          <w:p w14:paraId="4F037024" w14:textId="77777777" w:rsidR="00133A67" w:rsidRPr="00F6598C" w:rsidRDefault="00133A67" w:rsidP="00133A67">
            <w:pPr>
              <w:rPr>
                <w:sz w:val="22"/>
                <w:szCs w:val="22"/>
              </w:rPr>
            </w:pPr>
            <w:r w:rsidRPr="00F6598C">
              <w:rPr>
                <w:sz w:val="22"/>
                <w:szCs w:val="22"/>
              </w:rPr>
              <w:t>Types of emissions tests:</w:t>
            </w:r>
          </w:p>
          <w:p w14:paraId="51F1E89F" w14:textId="77777777" w:rsidR="00133A67" w:rsidRPr="00F6598C" w:rsidRDefault="00133A67" w:rsidP="00133A67">
            <w:pPr>
              <w:ind w:left="270"/>
              <w:rPr>
                <w:sz w:val="22"/>
                <w:szCs w:val="22"/>
              </w:rPr>
            </w:pPr>
            <w:r w:rsidRPr="00F6598C">
              <w:rPr>
                <w:sz w:val="22"/>
                <w:szCs w:val="22"/>
              </w:rPr>
              <w:t>OBD</w:t>
            </w:r>
          </w:p>
        </w:tc>
        <w:tc>
          <w:tcPr>
            <w:tcW w:w="1350" w:type="dxa"/>
            <w:tcBorders>
              <w:bottom w:val="nil"/>
            </w:tcBorders>
          </w:tcPr>
          <w:p w14:paraId="487609E8" w14:textId="77777777" w:rsidR="00133A67" w:rsidRDefault="00133A67" w:rsidP="00133A67">
            <w:pPr>
              <w:jc w:val="right"/>
            </w:pPr>
          </w:p>
          <w:p w14:paraId="7366E391" w14:textId="77777777" w:rsidR="00133A67" w:rsidRDefault="00133A67" w:rsidP="00133A67">
            <w:pPr>
              <w:jc w:val="right"/>
            </w:pPr>
            <w:r>
              <w:t>97.5%</w:t>
            </w:r>
          </w:p>
        </w:tc>
        <w:tc>
          <w:tcPr>
            <w:tcW w:w="1350" w:type="dxa"/>
            <w:tcBorders>
              <w:bottom w:val="nil"/>
            </w:tcBorders>
          </w:tcPr>
          <w:p w14:paraId="4D352D28" w14:textId="77777777" w:rsidR="00133A67" w:rsidRDefault="00133A67" w:rsidP="00133A67">
            <w:pPr>
              <w:jc w:val="right"/>
            </w:pPr>
          </w:p>
          <w:p w14:paraId="0C123E90" w14:textId="77777777" w:rsidR="00133A67" w:rsidRDefault="00133A67" w:rsidP="00133A67">
            <w:pPr>
              <w:jc w:val="right"/>
            </w:pPr>
            <w:r>
              <w:t>97.7%</w:t>
            </w:r>
          </w:p>
        </w:tc>
      </w:tr>
      <w:tr w:rsidR="00133A67" w:rsidRPr="0028399E" w14:paraId="1A5625B6" w14:textId="77777777" w:rsidTr="00913721">
        <w:trPr>
          <w:cantSplit/>
        </w:trPr>
        <w:tc>
          <w:tcPr>
            <w:tcW w:w="1908" w:type="dxa"/>
            <w:tcBorders>
              <w:top w:val="nil"/>
              <w:left w:val="single" w:sz="4" w:space="0" w:color="auto"/>
              <w:bottom w:val="nil"/>
            </w:tcBorders>
          </w:tcPr>
          <w:p w14:paraId="3FDA4039" w14:textId="77777777" w:rsidR="00133A67" w:rsidRPr="0028399E" w:rsidRDefault="00133A67" w:rsidP="00133A67"/>
        </w:tc>
        <w:tc>
          <w:tcPr>
            <w:tcW w:w="4770" w:type="dxa"/>
            <w:tcBorders>
              <w:top w:val="nil"/>
              <w:left w:val="single" w:sz="4" w:space="0" w:color="auto"/>
              <w:bottom w:val="single" w:sz="4" w:space="0" w:color="auto"/>
            </w:tcBorders>
          </w:tcPr>
          <w:p w14:paraId="32DE8E25" w14:textId="77777777" w:rsidR="00133A67" w:rsidRPr="00F6598C" w:rsidRDefault="00133A67" w:rsidP="00133A67">
            <w:pPr>
              <w:ind w:left="270"/>
              <w:rPr>
                <w:sz w:val="22"/>
                <w:szCs w:val="22"/>
              </w:rPr>
            </w:pPr>
            <w:r w:rsidRPr="00F6598C">
              <w:rPr>
                <w:sz w:val="22"/>
                <w:szCs w:val="22"/>
              </w:rPr>
              <w:t>Opacity</w:t>
            </w:r>
          </w:p>
        </w:tc>
        <w:tc>
          <w:tcPr>
            <w:tcW w:w="1350" w:type="dxa"/>
            <w:tcBorders>
              <w:top w:val="nil"/>
              <w:bottom w:val="single" w:sz="4" w:space="0" w:color="auto"/>
            </w:tcBorders>
          </w:tcPr>
          <w:p w14:paraId="1EFFE734" w14:textId="77777777" w:rsidR="00133A67" w:rsidRDefault="00133A67" w:rsidP="00133A67">
            <w:pPr>
              <w:jc w:val="right"/>
            </w:pPr>
            <w:r>
              <w:t>2.5%</w:t>
            </w:r>
          </w:p>
        </w:tc>
        <w:tc>
          <w:tcPr>
            <w:tcW w:w="1350" w:type="dxa"/>
            <w:tcBorders>
              <w:top w:val="nil"/>
              <w:bottom w:val="single" w:sz="4" w:space="0" w:color="auto"/>
            </w:tcBorders>
          </w:tcPr>
          <w:p w14:paraId="5A556D7C" w14:textId="77777777" w:rsidR="00133A67" w:rsidRDefault="00133A67" w:rsidP="00133A67">
            <w:pPr>
              <w:jc w:val="right"/>
            </w:pPr>
            <w:r>
              <w:t>2.3%</w:t>
            </w:r>
          </w:p>
        </w:tc>
      </w:tr>
      <w:tr w:rsidR="00133A67" w:rsidRPr="0028399E" w14:paraId="14ED8ECB" w14:textId="77777777" w:rsidTr="00913721">
        <w:trPr>
          <w:cantSplit/>
        </w:trPr>
        <w:tc>
          <w:tcPr>
            <w:tcW w:w="1908" w:type="dxa"/>
            <w:tcBorders>
              <w:top w:val="nil"/>
              <w:left w:val="single" w:sz="4" w:space="0" w:color="auto"/>
              <w:bottom w:val="nil"/>
            </w:tcBorders>
          </w:tcPr>
          <w:p w14:paraId="75F16DA9" w14:textId="77777777" w:rsidR="00133A67" w:rsidRPr="0028399E" w:rsidRDefault="00133A67" w:rsidP="00133A67"/>
        </w:tc>
        <w:tc>
          <w:tcPr>
            <w:tcW w:w="4770" w:type="dxa"/>
            <w:tcBorders>
              <w:top w:val="nil"/>
              <w:left w:val="single" w:sz="4" w:space="0" w:color="auto"/>
              <w:bottom w:val="nil"/>
            </w:tcBorders>
          </w:tcPr>
          <w:p w14:paraId="4A08F597" w14:textId="77777777" w:rsidR="00133A67" w:rsidRPr="00F6598C" w:rsidRDefault="00133A67" w:rsidP="00133A67">
            <w:pPr>
              <w:rPr>
                <w:sz w:val="22"/>
                <w:szCs w:val="22"/>
              </w:rPr>
            </w:pPr>
            <w:r w:rsidRPr="00F6598C">
              <w:rPr>
                <w:sz w:val="22"/>
                <w:szCs w:val="22"/>
              </w:rPr>
              <w:t>Number that failed initial OBD emissions tests</w:t>
            </w:r>
          </w:p>
        </w:tc>
        <w:tc>
          <w:tcPr>
            <w:tcW w:w="1350" w:type="dxa"/>
            <w:tcBorders>
              <w:top w:val="nil"/>
              <w:bottom w:val="nil"/>
            </w:tcBorders>
          </w:tcPr>
          <w:p w14:paraId="41AEC8C1" w14:textId="12F240B4" w:rsidR="00133A67" w:rsidRPr="00DB0B36" w:rsidRDefault="00133A67" w:rsidP="00BD0C69">
            <w:pPr>
              <w:jc w:val="right"/>
            </w:pPr>
            <w:r w:rsidRPr="00EA7B07">
              <w:t>176,049</w:t>
            </w:r>
          </w:p>
        </w:tc>
        <w:tc>
          <w:tcPr>
            <w:tcW w:w="1350" w:type="dxa"/>
            <w:tcBorders>
              <w:top w:val="nil"/>
              <w:bottom w:val="nil"/>
            </w:tcBorders>
          </w:tcPr>
          <w:p w14:paraId="7F204B16" w14:textId="0B2CD3B6" w:rsidR="00133A67" w:rsidRPr="00DB0B36" w:rsidRDefault="00133A67" w:rsidP="00BD0C69">
            <w:pPr>
              <w:jc w:val="right"/>
            </w:pPr>
            <w:r>
              <w:t>164,899</w:t>
            </w:r>
          </w:p>
        </w:tc>
      </w:tr>
      <w:tr w:rsidR="00133A67" w:rsidRPr="0028399E" w14:paraId="73D4C11A" w14:textId="77777777" w:rsidTr="00913721">
        <w:trPr>
          <w:cantSplit/>
        </w:trPr>
        <w:tc>
          <w:tcPr>
            <w:tcW w:w="1908" w:type="dxa"/>
            <w:tcBorders>
              <w:top w:val="nil"/>
              <w:left w:val="single" w:sz="4" w:space="0" w:color="auto"/>
              <w:bottom w:val="nil"/>
            </w:tcBorders>
          </w:tcPr>
          <w:p w14:paraId="788BC8B3" w14:textId="77777777" w:rsidR="00133A67" w:rsidRPr="0028399E" w:rsidRDefault="00133A67" w:rsidP="00133A67"/>
        </w:tc>
        <w:tc>
          <w:tcPr>
            <w:tcW w:w="4770" w:type="dxa"/>
            <w:tcBorders>
              <w:top w:val="nil"/>
              <w:left w:val="single" w:sz="4" w:space="0" w:color="auto"/>
              <w:bottom w:val="single" w:sz="4" w:space="0" w:color="auto"/>
            </w:tcBorders>
          </w:tcPr>
          <w:p w14:paraId="259F7BC2" w14:textId="77777777" w:rsidR="00133A67" w:rsidRPr="00F6598C" w:rsidRDefault="00133A67" w:rsidP="00133A67">
            <w:pPr>
              <w:rPr>
                <w:sz w:val="22"/>
                <w:szCs w:val="22"/>
              </w:rPr>
            </w:pPr>
          </w:p>
        </w:tc>
        <w:tc>
          <w:tcPr>
            <w:tcW w:w="1350" w:type="dxa"/>
            <w:tcBorders>
              <w:top w:val="nil"/>
              <w:bottom w:val="single" w:sz="4" w:space="0" w:color="auto"/>
            </w:tcBorders>
          </w:tcPr>
          <w:p w14:paraId="725B7759" w14:textId="77777777" w:rsidR="00133A67" w:rsidRDefault="00133A67" w:rsidP="00133A67">
            <w:pPr>
              <w:jc w:val="right"/>
            </w:pPr>
            <w:r>
              <w:t>(4.8%)</w:t>
            </w:r>
          </w:p>
        </w:tc>
        <w:tc>
          <w:tcPr>
            <w:tcW w:w="1350" w:type="dxa"/>
            <w:tcBorders>
              <w:top w:val="nil"/>
              <w:bottom w:val="single" w:sz="4" w:space="0" w:color="auto"/>
            </w:tcBorders>
          </w:tcPr>
          <w:p w14:paraId="39FE822D" w14:textId="77777777" w:rsidR="00133A67" w:rsidRDefault="00133A67" w:rsidP="00133A67">
            <w:pPr>
              <w:jc w:val="right"/>
            </w:pPr>
            <w:r>
              <w:t>(4.5%)</w:t>
            </w:r>
          </w:p>
        </w:tc>
      </w:tr>
      <w:tr w:rsidR="00133A67" w:rsidRPr="0028399E" w14:paraId="0EEC09B4" w14:textId="77777777" w:rsidTr="00913721">
        <w:trPr>
          <w:cantSplit/>
          <w:trHeight w:val="350"/>
        </w:trPr>
        <w:tc>
          <w:tcPr>
            <w:tcW w:w="1908" w:type="dxa"/>
            <w:tcBorders>
              <w:top w:val="nil"/>
              <w:left w:val="single" w:sz="4" w:space="0" w:color="auto"/>
              <w:bottom w:val="nil"/>
            </w:tcBorders>
          </w:tcPr>
          <w:p w14:paraId="4400EA99" w14:textId="77777777" w:rsidR="00133A67" w:rsidRPr="0028399E" w:rsidRDefault="00133A67" w:rsidP="00133A67"/>
        </w:tc>
        <w:tc>
          <w:tcPr>
            <w:tcW w:w="4770" w:type="dxa"/>
            <w:tcBorders>
              <w:left w:val="single" w:sz="4" w:space="0" w:color="auto"/>
              <w:bottom w:val="nil"/>
            </w:tcBorders>
          </w:tcPr>
          <w:p w14:paraId="7234B5A3" w14:textId="77777777" w:rsidR="00133A67" w:rsidRPr="00F6598C" w:rsidRDefault="00133A67" w:rsidP="00133A67">
            <w:pPr>
              <w:rPr>
                <w:sz w:val="22"/>
                <w:szCs w:val="22"/>
              </w:rPr>
            </w:pPr>
            <w:r w:rsidRPr="00F6598C">
              <w:rPr>
                <w:sz w:val="22"/>
                <w:szCs w:val="22"/>
              </w:rPr>
              <w:t>Diesel vehicles:</w:t>
            </w:r>
          </w:p>
          <w:p w14:paraId="6B29280C" w14:textId="77777777" w:rsidR="00133A67" w:rsidRPr="00F6598C" w:rsidRDefault="00133A67" w:rsidP="00133A67">
            <w:pPr>
              <w:numPr>
                <w:ilvl w:val="0"/>
                <w:numId w:val="2"/>
              </w:numPr>
              <w:ind w:left="195" w:hanging="180"/>
              <w:contextualSpacing/>
              <w:rPr>
                <w:sz w:val="22"/>
                <w:szCs w:val="22"/>
              </w:rPr>
            </w:pPr>
            <w:r w:rsidRPr="00F6598C">
              <w:rPr>
                <w:sz w:val="22"/>
                <w:szCs w:val="22"/>
              </w:rPr>
              <w:t>Number that received initial OBD emissions tests</w:t>
            </w:r>
          </w:p>
        </w:tc>
        <w:tc>
          <w:tcPr>
            <w:tcW w:w="1350" w:type="dxa"/>
            <w:tcBorders>
              <w:bottom w:val="nil"/>
            </w:tcBorders>
          </w:tcPr>
          <w:p w14:paraId="24F23BB0" w14:textId="77777777" w:rsidR="00133A67" w:rsidRDefault="00133A67" w:rsidP="00133A67">
            <w:pPr>
              <w:jc w:val="right"/>
            </w:pPr>
          </w:p>
          <w:p w14:paraId="7BE894FE" w14:textId="77777777" w:rsidR="00133A67" w:rsidRPr="00DB0B36" w:rsidRDefault="00133A67" w:rsidP="00133A67">
            <w:pPr>
              <w:jc w:val="right"/>
            </w:pPr>
            <w:r w:rsidRPr="00FD0491">
              <w:t>33,689</w:t>
            </w:r>
          </w:p>
        </w:tc>
        <w:tc>
          <w:tcPr>
            <w:tcW w:w="1350" w:type="dxa"/>
            <w:tcBorders>
              <w:bottom w:val="nil"/>
            </w:tcBorders>
          </w:tcPr>
          <w:p w14:paraId="24A8CE1C" w14:textId="77777777" w:rsidR="00133A67" w:rsidRDefault="00133A67" w:rsidP="00133A67">
            <w:pPr>
              <w:jc w:val="right"/>
            </w:pPr>
          </w:p>
          <w:p w14:paraId="7AF7C922" w14:textId="77777777" w:rsidR="00133A67" w:rsidRPr="00DB0B36" w:rsidRDefault="00133A67" w:rsidP="00133A67">
            <w:pPr>
              <w:jc w:val="right"/>
            </w:pPr>
            <w:r>
              <w:t>35,757</w:t>
            </w:r>
          </w:p>
        </w:tc>
      </w:tr>
      <w:tr w:rsidR="00133A67" w:rsidRPr="0028399E" w14:paraId="385CEBBE" w14:textId="77777777" w:rsidTr="00913721">
        <w:trPr>
          <w:cantSplit/>
          <w:trHeight w:val="207"/>
        </w:trPr>
        <w:tc>
          <w:tcPr>
            <w:tcW w:w="1908" w:type="dxa"/>
            <w:tcBorders>
              <w:top w:val="nil"/>
              <w:left w:val="single" w:sz="4" w:space="0" w:color="auto"/>
              <w:bottom w:val="nil"/>
            </w:tcBorders>
          </w:tcPr>
          <w:p w14:paraId="103CE4AF" w14:textId="77777777" w:rsidR="00133A67" w:rsidRPr="0028399E" w:rsidRDefault="00133A67" w:rsidP="00133A67"/>
        </w:tc>
        <w:tc>
          <w:tcPr>
            <w:tcW w:w="4770" w:type="dxa"/>
            <w:tcBorders>
              <w:top w:val="nil"/>
              <w:left w:val="single" w:sz="4" w:space="0" w:color="auto"/>
              <w:bottom w:val="nil"/>
            </w:tcBorders>
          </w:tcPr>
          <w:p w14:paraId="0B1DBA16" w14:textId="77777777" w:rsidR="00133A67" w:rsidRPr="00F6598C" w:rsidRDefault="00133A67" w:rsidP="00133A67">
            <w:pPr>
              <w:numPr>
                <w:ilvl w:val="0"/>
                <w:numId w:val="2"/>
              </w:numPr>
              <w:ind w:left="195" w:hanging="180"/>
              <w:contextualSpacing/>
              <w:rPr>
                <w:sz w:val="22"/>
                <w:szCs w:val="22"/>
              </w:rPr>
            </w:pPr>
            <w:r w:rsidRPr="00F6598C">
              <w:rPr>
                <w:sz w:val="22"/>
                <w:szCs w:val="22"/>
              </w:rPr>
              <w:t>Number that failed initial OBD emissions test</w:t>
            </w:r>
          </w:p>
        </w:tc>
        <w:tc>
          <w:tcPr>
            <w:tcW w:w="1350" w:type="dxa"/>
            <w:tcBorders>
              <w:top w:val="nil"/>
              <w:bottom w:val="nil"/>
            </w:tcBorders>
          </w:tcPr>
          <w:p w14:paraId="41D64140" w14:textId="5855E6B3" w:rsidR="00133A67" w:rsidRPr="00DB0B36" w:rsidRDefault="00133A67" w:rsidP="00BD0C69">
            <w:pPr>
              <w:jc w:val="right"/>
            </w:pPr>
            <w:r w:rsidRPr="00FD0491">
              <w:t>4,675</w:t>
            </w:r>
          </w:p>
        </w:tc>
        <w:tc>
          <w:tcPr>
            <w:tcW w:w="1350" w:type="dxa"/>
            <w:tcBorders>
              <w:top w:val="nil"/>
              <w:bottom w:val="nil"/>
            </w:tcBorders>
          </w:tcPr>
          <w:p w14:paraId="23FCE7FF" w14:textId="23698AB6" w:rsidR="00133A67" w:rsidRPr="00DB0B36" w:rsidRDefault="00133A67" w:rsidP="00BD0C69">
            <w:pPr>
              <w:jc w:val="right"/>
            </w:pPr>
            <w:r>
              <w:t>4,801</w:t>
            </w:r>
          </w:p>
        </w:tc>
      </w:tr>
      <w:tr w:rsidR="00133A67" w:rsidRPr="0028399E" w14:paraId="0BE95A9C" w14:textId="77777777" w:rsidTr="00913721">
        <w:trPr>
          <w:cantSplit/>
          <w:trHeight w:val="350"/>
        </w:trPr>
        <w:tc>
          <w:tcPr>
            <w:tcW w:w="1908" w:type="dxa"/>
            <w:tcBorders>
              <w:top w:val="nil"/>
              <w:left w:val="single" w:sz="4" w:space="0" w:color="auto"/>
              <w:bottom w:val="nil"/>
            </w:tcBorders>
          </w:tcPr>
          <w:p w14:paraId="5FCCA426" w14:textId="77777777" w:rsidR="00133A67" w:rsidRPr="0028399E" w:rsidRDefault="00133A67" w:rsidP="00133A67"/>
        </w:tc>
        <w:tc>
          <w:tcPr>
            <w:tcW w:w="4770" w:type="dxa"/>
            <w:tcBorders>
              <w:top w:val="nil"/>
              <w:left w:val="single" w:sz="4" w:space="0" w:color="auto"/>
              <w:bottom w:val="nil"/>
            </w:tcBorders>
          </w:tcPr>
          <w:p w14:paraId="5D69AA67" w14:textId="77777777" w:rsidR="00133A67" w:rsidRPr="00F6598C" w:rsidRDefault="00133A67" w:rsidP="00133A67">
            <w:pPr>
              <w:rPr>
                <w:sz w:val="22"/>
                <w:szCs w:val="22"/>
              </w:rPr>
            </w:pPr>
          </w:p>
        </w:tc>
        <w:tc>
          <w:tcPr>
            <w:tcW w:w="1350" w:type="dxa"/>
            <w:tcBorders>
              <w:top w:val="nil"/>
              <w:bottom w:val="nil"/>
            </w:tcBorders>
          </w:tcPr>
          <w:p w14:paraId="57277A99" w14:textId="6AC68021" w:rsidR="00133A67" w:rsidRDefault="00133A67" w:rsidP="00BD0C69">
            <w:pPr>
              <w:jc w:val="right"/>
            </w:pPr>
            <w:r w:rsidRPr="00FD0491">
              <w:t>(13.9%)</w:t>
            </w:r>
          </w:p>
        </w:tc>
        <w:tc>
          <w:tcPr>
            <w:tcW w:w="1350" w:type="dxa"/>
            <w:tcBorders>
              <w:top w:val="nil"/>
              <w:bottom w:val="nil"/>
            </w:tcBorders>
          </w:tcPr>
          <w:p w14:paraId="5F4F9A8F" w14:textId="4DC48CB7" w:rsidR="00133A67" w:rsidRDefault="00133A67" w:rsidP="00BD0C69">
            <w:pPr>
              <w:jc w:val="right"/>
            </w:pPr>
            <w:r w:rsidRPr="00FD0491">
              <w:t>(13.</w:t>
            </w:r>
            <w:r>
              <w:t>4</w:t>
            </w:r>
            <w:r w:rsidRPr="00FD0491">
              <w:t>%)</w:t>
            </w:r>
          </w:p>
        </w:tc>
      </w:tr>
      <w:tr w:rsidR="00133A67" w:rsidRPr="0028399E" w14:paraId="78B91D4B" w14:textId="77777777" w:rsidTr="00913721">
        <w:trPr>
          <w:cantSplit/>
          <w:trHeight w:val="350"/>
        </w:trPr>
        <w:tc>
          <w:tcPr>
            <w:tcW w:w="1908" w:type="dxa"/>
            <w:tcBorders>
              <w:top w:val="nil"/>
              <w:left w:val="single" w:sz="4" w:space="0" w:color="auto"/>
              <w:bottom w:val="nil"/>
            </w:tcBorders>
          </w:tcPr>
          <w:p w14:paraId="1245D36A" w14:textId="77777777" w:rsidR="00133A67" w:rsidRPr="0028399E" w:rsidRDefault="00133A67" w:rsidP="00133A67"/>
        </w:tc>
        <w:tc>
          <w:tcPr>
            <w:tcW w:w="4770" w:type="dxa"/>
            <w:tcBorders>
              <w:top w:val="nil"/>
              <w:left w:val="single" w:sz="4" w:space="0" w:color="auto"/>
              <w:bottom w:val="nil"/>
            </w:tcBorders>
          </w:tcPr>
          <w:p w14:paraId="1BCC3A97" w14:textId="77777777" w:rsidR="00133A67" w:rsidRPr="00F6598C" w:rsidRDefault="00133A67" w:rsidP="00133A67">
            <w:pPr>
              <w:numPr>
                <w:ilvl w:val="0"/>
                <w:numId w:val="2"/>
              </w:numPr>
              <w:ind w:left="195" w:hanging="180"/>
              <w:contextualSpacing/>
              <w:rPr>
                <w:sz w:val="22"/>
                <w:szCs w:val="22"/>
              </w:rPr>
            </w:pPr>
            <w:r w:rsidRPr="00F6598C">
              <w:rPr>
                <w:sz w:val="22"/>
                <w:szCs w:val="22"/>
              </w:rPr>
              <w:t>Number that received initial opacity tests</w:t>
            </w:r>
          </w:p>
        </w:tc>
        <w:tc>
          <w:tcPr>
            <w:tcW w:w="1350" w:type="dxa"/>
            <w:tcBorders>
              <w:top w:val="nil"/>
              <w:bottom w:val="nil"/>
            </w:tcBorders>
          </w:tcPr>
          <w:p w14:paraId="156D3E3C" w14:textId="6D81D6B6" w:rsidR="00133A67" w:rsidRPr="00FD0491" w:rsidRDefault="00133A67" w:rsidP="00BD0C69">
            <w:pPr>
              <w:jc w:val="right"/>
            </w:pPr>
            <w:r w:rsidRPr="00FD0491">
              <w:t>96,898</w:t>
            </w:r>
          </w:p>
        </w:tc>
        <w:tc>
          <w:tcPr>
            <w:tcW w:w="1350" w:type="dxa"/>
            <w:tcBorders>
              <w:top w:val="nil"/>
              <w:bottom w:val="nil"/>
            </w:tcBorders>
          </w:tcPr>
          <w:p w14:paraId="6800909F" w14:textId="68DDEB7D" w:rsidR="00133A67" w:rsidRPr="00FD0491" w:rsidRDefault="00133A67" w:rsidP="00BD0C69">
            <w:pPr>
              <w:jc w:val="right"/>
            </w:pPr>
            <w:r>
              <w:t>87,162</w:t>
            </w:r>
          </w:p>
        </w:tc>
      </w:tr>
      <w:tr w:rsidR="00133A67" w:rsidRPr="0028399E" w14:paraId="245035A9" w14:textId="77777777" w:rsidTr="00913721">
        <w:trPr>
          <w:cantSplit/>
          <w:trHeight w:val="225"/>
        </w:trPr>
        <w:tc>
          <w:tcPr>
            <w:tcW w:w="1908" w:type="dxa"/>
            <w:tcBorders>
              <w:top w:val="nil"/>
              <w:left w:val="single" w:sz="4" w:space="0" w:color="auto"/>
              <w:bottom w:val="nil"/>
            </w:tcBorders>
          </w:tcPr>
          <w:p w14:paraId="70A5B7E9" w14:textId="77777777" w:rsidR="00133A67" w:rsidRPr="0028399E" w:rsidRDefault="00133A67" w:rsidP="00133A67"/>
        </w:tc>
        <w:tc>
          <w:tcPr>
            <w:tcW w:w="4770" w:type="dxa"/>
            <w:tcBorders>
              <w:top w:val="nil"/>
              <w:left w:val="single" w:sz="4" w:space="0" w:color="auto"/>
              <w:bottom w:val="nil"/>
            </w:tcBorders>
          </w:tcPr>
          <w:p w14:paraId="208D549E" w14:textId="77777777" w:rsidR="00133A67" w:rsidRPr="00F6598C" w:rsidRDefault="00133A67" w:rsidP="00133A67">
            <w:pPr>
              <w:numPr>
                <w:ilvl w:val="0"/>
                <w:numId w:val="2"/>
              </w:numPr>
              <w:ind w:left="195" w:hanging="180"/>
              <w:contextualSpacing/>
              <w:rPr>
                <w:sz w:val="22"/>
                <w:szCs w:val="22"/>
              </w:rPr>
            </w:pPr>
            <w:r w:rsidRPr="00F6598C">
              <w:rPr>
                <w:sz w:val="22"/>
                <w:szCs w:val="22"/>
              </w:rPr>
              <w:t>Number that failed initial opacity emissions test</w:t>
            </w:r>
          </w:p>
        </w:tc>
        <w:tc>
          <w:tcPr>
            <w:tcW w:w="1350" w:type="dxa"/>
            <w:tcBorders>
              <w:top w:val="nil"/>
              <w:bottom w:val="nil"/>
            </w:tcBorders>
          </w:tcPr>
          <w:p w14:paraId="6FB17645" w14:textId="3D837BC3" w:rsidR="00133A67" w:rsidRPr="00FD0491" w:rsidRDefault="00133A67" w:rsidP="00BD0C69">
            <w:pPr>
              <w:jc w:val="right"/>
            </w:pPr>
            <w:r w:rsidRPr="00FD0491">
              <w:t>2,578</w:t>
            </w:r>
          </w:p>
        </w:tc>
        <w:tc>
          <w:tcPr>
            <w:tcW w:w="1350" w:type="dxa"/>
            <w:tcBorders>
              <w:top w:val="nil"/>
              <w:bottom w:val="nil"/>
            </w:tcBorders>
          </w:tcPr>
          <w:p w14:paraId="26299545" w14:textId="501E2AA6" w:rsidR="00133A67" w:rsidRPr="00FD0491" w:rsidRDefault="00133A67" w:rsidP="00BD0C69">
            <w:pPr>
              <w:jc w:val="right"/>
            </w:pPr>
            <w:r>
              <w:t>1,653</w:t>
            </w:r>
          </w:p>
        </w:tc>
      </w:tr>
      <w:tr w:rsidR="00133A67" w:rsidRPr="0028399E" w14:paraId="6CF5A10E" w14:textId="77777777" w:rsidTr="00913721">
        <w:trPr>
          <w:cantSplit/>
          <w:trHeight w:val="395"/>
        </w:trPr>
        <w:tc>
          <w:tcPr>
            <w:tcW w:w="1908" w:type="dxa"/>
            <w:tcBorders>
              <w:top w:val="nil"/>
              <w:left w:val="single" w:sz="4" w:space="0" w:color="auto"/>
              <w:bottom w:val="nil"/>
            </w:tcBorders>
          </w:tcPr>
          <w:p w14:paraId="342753B6" w14:textId="77777777" w:rsidR="00133A67" w:rsidRPr="0028399E" w:rsidRDefault="00133A67" w:rsidP="00133A67"/>
        </w:tc>
        <w:tc>
          <w:tcPr>
            <w:tcW w:w="4770" w:type="dxa"/>
            <w:tcBorders>
              <w:left w:val="single" w:sz="4" w:space="0" w:color="auto"/>
              <w:bottom w:val="nil"/>
            </w:tcBorders>
          </w:tcPr>
          <w:p w14:paraId="63C33340" w14:textId="77777777" w:rsidR="00133A67" w:rsidRPr="00F6598C" w:rsidRDefault="00133A67" w:rsidP="00133A67">
            <w:pPr>
              <w:rPr>
                <w:sz w:val="22"/>
                <w:szCs w:val="22"/>
              </w:rPr>
            </w:pPr>
            <w:r w:rsidRPr="00F6598C">
              <w:rPr>
                <w:sz w:val="22"/>
                <w:szCs w:val="22"/>
              </w:rPr>
              <w:t>Number of Waivers issued</w:t>
            </w:r>
          </w:p>
        </w:tc>
        <w:tc>
          <w:tcPr>
            <w:tcW w:w="1350" w:type="dxa"/>
            <w:tcBorders>
              <w:bottom w:val="nil"/>
            </w:tcBorders>
          </w:tcPr>
          <w:p w14:paraId="5291F8B0" w14:textId="77777777" w:rsidR="00133A67" w:rsidRDefault="00133A67" w:rsidP="00133A67">
            <w:pPr>
              <w:jc w:val="right"/>
            </w:pPr>
            <w:r>
              <w:t>2</w:t>
            </w:r>
          </w:p>
        </w:tc>
        <w:tc>
          <w:tcPr>
            <w:tcW w:w="1350" w:type="dxa"/>
            <w:tcBorders>
              <w:bottom w:val="nil"/>
            </w:tcBorders>
          </w:tcPr>
          <w:p w14:paraId="44FE5AFE" w14:textId="77777777" w:rsidR="00133A67" w:rsidRDefault="00133A67" w:rsidP="00133A67">
            <w:pPr>
              <w:jc w:val="right"/>
            </w:pPr>
            <w:r>
              <w:t>2</w:t>
            </w:r>
          </w:p>
        </w:tc>
      </w:tr>
      <w:tr w:rsidR="00133A67" w:rsidRPr="0028399E" w14:paraId="3E7607AE" w14:textId="77777777" w:rsidTr="00913721">
        <w:trPr>
          <w:cantSplit/>
          <w:trHeight w:val="422"/>
        </w:trPr>
        <w:tc>
          <w:tcPr>
            <w:tcW w:w="1908" w:type="dxa"/>
            <w:tcBorders>
              <w:top w:val="nil"/>
              <w:left w:val="single" w:sz="4" w:space="0" w:color="auto"/>
              <w:bottom w:val="nil"/>
            </w:tcBorders>
          </w:tcPr>
          <w:p w14:paraId="26308DAC" w14:textId="77777777" w:rsidR="00133A67" w:rsidRPr="0028399E" w:rsidRDefault="00133A67" w:rsidP="00133A67"/>
        </w:tc>
        <w:tc>
          <w:tcPr>
            <w:tcW w:w="4770" w:type="dxa"/>
            <w:tcBorders>
              <w:top w:val="nil"/>
              <w:left w:val="single" w:sz="4" w:space="0" w:color="auto"/>
            </w:tcBorders>
          </w:tcPr>
          <w:p w14:paraId="2FB7D56E" w14:textId="77777777" w:rsidR="00133A67" w:rsidRPr="00F6598C" w:rsidRDefault="00133A67" w:rsidP="00133A67">
            <w:pPr>
              <w:rPr>
                <w:sz w:val="22"/>
                <w:szCs w:val="22"/>
              </w:rPr>
            </w:pPr>
            <w:r w:rsidRPr="00F6598C">
              <w:rPr>
                <w:sz w:val="22"/>
                <w:szCs w:val="22"/>
              </w:rPr>
              <w:t>Number of Economic Hardship Extensions issued</w:t>
            </w:r>
          </w:p>
        </w:tc>
        <w:tc>
          <w:tcPr>
            <w:tcW w:w="1350" w:type="dxa"/>
            <w:tcBorders>
              <w:top w:val="nil"/>
            </w:tcBorders>
          </w:tcPr>
          <w:p w14:paraId="3A839D8D" w14:textId="77777777" w:rsidR="00133A67" w:rsidRDefault="00133A67" w:rsidP="00133A67">
            <w:pPr>
              <w:jc w:val="right"/>
            </w:pPr>
            <w:r>
              <w:t>21</w:t>
            </w:r>
          </w:p>
        </w:tc>
        <w:tc>
          <w:tcPr>
            <w:tcW w:w="1350" w:type="dxa"/>
            <w:tcBorders>
              <w:top w:val="nil"/>
            </w:tcBorders>
          </w:tcPr>
          <w:p w14:paraId="663FF3BA" w14:textId="77777777" w:rsidR="00133A67" w:rsidRDefault="00133A67" w:rsidP="00133A67">
            <w:pPr>
              <w:jc w:val="right"/>
            </w:pPr>
            <w:r>
              <w:t>42</w:t>
            </w:r>
          </w:p>
        </w:tc>
      </w:tr>
      <w:tr w:rsidR="00133A67" w:rsidRPr="0028399E" w14:paraId="2539DA80" w14:textId="77777777" w:rsidTr="00913721">
        <w:trPr>
          <w:cantSplit/>
        </w:trPr>
        <w:tc>
          <w:tcPr>
            <w:tcW w:w="1908" w:type="dxa"/>
            <w:tcBorders>
              <w:top w:val="nil"/>
              <w:left w:val="single" w:sz="4" w:space="0" w:color="auto"/>
              <w:bottom w:val="nil"/>
            </w:tcBorders>
          </w:tcPr>
          <w:p w14:paraId="51116145" w14:textId="77777777" w:rsidR="00133A67" w:rsidRPr="0028399E" w:rsidRDefault="00133A67" w:rsidP="00133A67"/>
        </w:tc>
        <w:tc>
          <w:tcPr>
            <w:tcW w:w="4770" w:type="dxa"/>
            <w:tcBorders>
              <w:left w:val="single" w:sz="4" w:space="0" w:color="auto"/>
              <w:bottom w:val="nil"/>
            </w:tcBorders>
          </w:tcPr>
          <w:p w14:paraId="22CD83B6" w14:textId="77777777" w:rsidR="00133A67" w:rsidRPr="00F6598C" w:rsidRDefault="00133A67" w:rsidP="00133A67">
            <w:pPr>
              <w:rPr>
                <w:sz w:val="22"/>
                <w:szCs w:val="22"/>
              </w:rPr>
            </w:pPr>
            <w:r w:rsidRPr="00F6598C">
              <w:rPr>
                <w:sz w:val="22"/>
                <w:szCs w:val="22"/>
              </w:rPr>
              <w:t>No Known Outcome</w:t>
            </w:r>
          </w:p>
          <w:p w14:paraId="4142A952" w14:textId="025F2DE7" w:rsidR="00133A67" w:rsidRPr="00F6598C" w:rsidRDefault="00133A67" w:rsidP="00133A67">
            <w:pPr>
              <w:ind w:left="270"/>
              <w:rPr>
                <w:sz w:val="22"/>
                <w:szCs w:val="22"/>
              </w:rPr>
            </w:pPr>
            <w:r w:rsidRPr="00F6598C">
              <w:rPr>
                <w:sz w:val="22"/>
                <w:szCs w:val="22"/>
              </w:rPr>
              <w:t>Number of non-diesel vehicles that failed an initial OBD test and did not pass a subsequent retest or obtain a waiver</w:t>
            </w:r>
            <w:r>
              <w:rPr>
                <w:sz w:val="22"/>
                <w:szCs w:val="22"/>
              </w:rPr>
              <w:t xml:space="preserve"> or extension</w:t>
            </w:r>
            <w:r w:rsidRPr="00F6598C">
              <w:rPr>
                <w:sz w:val="22"/>
                <w:szCs w:val="22"/>
                <w:vertAlign w:val="superscript"/>
              </w:rPr>
              <w:footnoteReference w:id="1"/>
            </w:r>
          </w:p>
        </w:tc>
        <w:tc>
          <w:tcPr>
            <w:tcW w:w="1350" w:type="dxa"/>
            <w:tcBorders>
              <w:bottom w:val="nil"/>
            </w:tcBorders>
          </w:tcPr>
          <w:p w14:paraId="35667E37" w14:textId="77777777" w:rsidR="00133A67" w:rsidRDefault="00133A67" w:rsidP="00133A67">
            <w:pPr>
              <w:jc w:val="right"/>
            </w:pPr>
          </w:p>
          <w:p w14:paraId="2B18317C" w14:textId="0BD1EE84" w:rsidR="00133A67" w:rsidRPr="00D83A95" w:rsidRDefault="00133A67" w:rsidP="00BD0C69">
            <w:pPr>
              <w:jc w:val="right"/>
            </w:pPr>
            <w:r w:rsidRPr="00FD0491">
              <w:t>19,978</w:t>
            </w:r>
          </w:p>
        </w:tc>
        <w:tc>
          <w:tcPr>
            <w:tcW w:w="1350" w:type="dxa"/>
            <w:tcBorders>
              <w:bottom w:val="nil"/>
            </w:tcBorders>
          </w:tcPr>
          <w:p w14:paraId="5A2F228F" w14:textId="77777777" w:rsidR="00133A67" w:rsidRDefault="00133A67" w:rsidP="00133A67">
            <w:pPr>
              <w:jc w:val="right"/>
            </w:pPr>
          </w:p>
          <w:p w14:paraId="08865A10" w14:textId="5F4FD244" w:rsidR="00133A67" w:rsidRPr="00D83A95" w:rsidRDefault="00133A67" w:rsidP="00BD0C69">
            <w:pPr>
              <w:jc w:val="right"/>
            </w:pPr>
            <w:r>
              <w:t>21,998</w:t>
            </w:r>
          </w:p>
        </w:tc>
      </w:tr>
      <w:tr w:rsidR="00133A67" w:rsidRPr="001601CC" w14:paraId="248A8E86" w14:textId="77777777" w:rsidTr="00913721">
        <w:trPr>
          <w:cantSplit/>
          <w:trHeight w:val="720"/>
        </w:trPr>
        <w:tc>
          <w:tcPr>
            <w:tcW w:w="1908" w:type="dxa"/>
            <w:tcBorders>
              <w:top w:val="nil"/>
              <w:left w:val="single" w:sz="4" w:space="0" w:color="auto"/>
              <w:bottom w:val="single" w:sz="4" w:space="0" w:color="auto"/>
            </w:tcBorders>
          </w:tcPr>
          <w:p w14:paraId="37802D4D" w14:textId="77777777" w:rsidR="00133A67" w:rsidRPr="0028399E" w:rsidRDefault="00133A67" w:rsidP="00133A67"/>
        </w:tc>
        <w:tc>
          <w:tcPr>
            <w:tcW w:w="4770" w:type="dxa"/>
            <w:tcBorders>
              <w:top w:val="nil"/>
              <w:left w:val="single" w:sz="4" w:space="0" w:color="auto"/>
              <w:bottom w:val="single" w:sz="4" w:space="0" w:color="auto"/>
            </w:tcBorders>
          </w:tcPr>
          <w:p w14:paraId="4B56C3C8" w14:textId="77777777" w:rsidR="00133A67" w:rsidRPr="00F6598C" w:rsidRDefault="00133A67" w:rsidP="00BD0C69">
            <w:pPr>
              <w:ind w:left="234"/>
              <w:rPr>
                <w:sz w:val="22"/>
                <w:szCs w:val="22"/>
              </w:rPr>
            </w:pPr>
            <w:r w:rsidRPr="00F6598C">
              <w:rPr>
                <w:sz w:val="22"/>
                <w:szCs w:val="22"/>
              </w:rPr>
              <w:t>Percent of non-diesel vehicles receiving an initial OBD test with no known outcome</w:t>
            </w:r>
          </w:p>
        </w:tc>
        <w:tc>
          <w:tcPr>
            <w:tcW w:w="1350" w:type="dxa"/>
            <w:tcBorders>
              <w:top w:val="nil"/>
              <w:bottom w:val="single" w:sz="4" w:space="0" w:color="auto"/>
            </w:tcBorders>
          </w:tcPr>
          <w:p w14:paraId="5AA19D35" w14:textId="77777777" w:rsidR="00133A67" w:rsidRDefault="00133A67" w:rsidP="00133A67">
            <w:pPr>
              <w:spacing w:line="360" w:lineRule="auto"/>
              <w:jc w:val="right"/>
            </w:pPr>
            <w:r>
              <w:t>0.5%</w:t>
            </w:r>
          </w:p>
        </w:tc>
        <w:tc>
          <w:tcPr>
            <w:tcW w:w="1350" w:type="dxa"/>
            <w:tcBorders>
              <w:top w:val="nil"/>
              <w:bottom w:val="single" w:sz="4" w:space="0" w:color="auto"/>
            </w:tcBorders>
          </w:tcPr>
          <w:p w14:paraId="0518D406" w14:textId="77777777" w:rsidR="00133A67" w:rsidRDefault="00133A67" w:rsidP="00133A67">
            <w:pPr>
              <w:spacing w:line="360" w:lineRule="auto"/>
              <w:jc w:val="right"/>
            </w:pPr>
            <w:r>
              <w:t>0.6%</w:t>
            </w:r>
          </w:p>
        </w:tc>
      </w:tr>
    </w:tbl>
    <w:p w14:paraId="728A61D3" w14:textId="77777777" w:rsidR="00293511" w:rsidRDefault="00293511">
      <w:pPr>
        <w:rPr>
          <w:b/>
          <w:bCs/>
          <w:sz w:val="22"/>
          <w:szCs w:val="22"/>
          <w:highlight w:val="yellow"/>
        </w:rPr>
      </w:pPr>
    </w:p>
    <w:p w14:paraId="41D7CFDE" w14:textId="3056F9F9" w:rsidR="00293511" w:rsidRDefault="00293511">
      <w:pPr>
        <w:rPr>
          <w:b/>
          <w:bCs/>
          <w:sz w:val="22"/>
          <w:szCs w:val="22"/>
          <w:highlight w:val="yellow"/>
        </w:rPr>
      </w:pPr>
    </w:p>
    <w:p w14:paraId="13C08CDE" w14:textId="77777777" w:rsidR="00BD0C69" w:rsidRDefault="00BD0C69">
      <w:pPr>
        <w:rPr>
          <w:b/>
          <w:bCs/>
          <w:sz w:val="22"/>
          <w:szCs w:val="22"/>
          <w:highlight w:val="yellow"/>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770"/>
        <w:gridCol w:w="1350"/>
        <w:gridCol w:w="1350"/>
      </w:tblGrid>
      <w:tr w:rsidR="00293511" w:rsidRPr="0028399E" w14:paraId="7D6FDE6C" w14:textId="77777777" w:rsidTr="00913721">
        <w:trPr>
          <w:cantSplit/>
        </w:trPr>
        <w:tc>
          <w:tcPr>
            <w:tcW w:w="1908" w:type="dxa"/>
            <w:tcBorders>
              <w:left w:val="single" w:sz="4" w:space="0" w:color="auto"/>
              <w:bottom w:val="single" w:sz="4" w:space="0" w:color="auto"/>
            </w:tcBorders>
          </w:tcPr>
          <w:p w14:paraId="0F4E4700" w14:textId="77777777" w:rsidR="00293511" w:rsidRPr="0028399E" w:rsidRDefault="00293511" w:rsidP="00913721">
            <w:pPr>
              <w:keepNext/>
              <w:keepLines/>
              <w:rPr>
                <w:b/>
              </w:rPr>
            </w:pPr>
          </w:p>
        </w:tc>
        <w:tc>
          <w:tcPr>
            <w:tcW w:w="4770" w:type="dxa"/>
            <w:tcBorders>
              <w:left w:val="single" w:sz="4" w:space="0" w:color="auto"/>
              <w:bottom w:val="single" w:sz="4" w:space="0" w:color="auto"/>
            </w:tcBorders>
          </w:tcPr>
          <w:p w14:paraId="49068C30" w14:textId="77777777" w:rsidR="00293511" w:rsidRPr="0028399E" w:rsidRDefault="00293511" w:rsidP="00913721">
            <w:pPr>
              <w:keepNext/>
              <w:keepLines/>
              <w:rPr>
                <w:b/>
              </w:rPr>
            </w:pPr>
          </w:p>
          <w:p w14:paraId="1B3CE854" w14:textId="77777777" w:rsidR="00293511" w:rsidRPr="0028399E" w:rsidRDefault="00293511" w:rsidP="00913721">
            <w:pPr>
              <w:keepNext/>
              <w:keepLines/>
              <w:rPr>
                <w:b/>
              </w:rPr>
            </w:pPr>
            <w:r w:rsidRPr="0028399E">
              <w:rPr>
                <w:b/>
              </w:rPr>
              <w:t>PROGRAM COMPONENT</w:t>
            </w:r>
          </w:p>
        </w:tc>
        <w:tc>
          <w:tcPr>
            <w:tcW w:w="1350" w:type="dxa"/>
            <w:tcBorders>
              <w:bottom w:val="single" w:sz="4" w:space="0" w:color="auto"/>
            </w:tcBorders>
          </w:tcPr>
          <w:p w14:paraId="0AA99EA8" w14:textId="77777777" w:rsidR="00293511" w:rsidRDefault="00293511" w:rsidP="00913721">
            <w:pPr>
              <w:keepNext/>
              <w:keepLines/>
              <w:jc w:val="right"/>
              <w:rPr>
                <w:b/>
              </w:rPr>
            </w:pPr>
            <w:r>
              <w:rPr>
                <w:b/>
              </w:rPr>
              <w:t>201</w:t>
            </w:r>
            <w:r w:rsidR="00133A67">
              <w:rPr>
                <w:b/>
              </w:rPr>
              <w:t>8</w:t>
            </w:r>
          </w:p>
          <w:p w14:paraId="28385917" w14:textId="77777777" w:rsidR="00293511" w:rsidRDefault="00293511" w:rsidP="00913721">
            <w:pPr>
              <w:keepNext/>
              <w:keepLines/>
              <w:jc w:val="right"/>
              <w:rPr>
                <w:b/>
              </w:rPr>
            </w:pPr>
            <w:r>
              <w:rPr>
                <w:b/>
              </w:rPr>
              <w:t>TOTAL</w:t>
            </w:r>
          </w:p>
        </w:tc>
        <w:tc>
          <w:tcPr>
            <w:tcW w:w="1350" w:type="dxa"/>
            <w:tcBorders>
              <w:bottom w:val="single" w:sz="4" w:space="0" w:color="auto"/>
            </w:tcBorders>
          </w:tcPr>
          <w:p w14:paraId="14BE9AD4" w14:textId="77777777" w:rsidR="00293511" w:rsidRDefault="00293511" w:rsidP="00913721">
            <w:pPr>
              <w:keepNext/>
              <w:keepLines/>
              <w:jc w:val="right"/>
              <w:rPr>
                <w:b/>
              </w:rPr>
            </w:pPr>
            <w:r>
              <w:rPr>
                <w:b/>
              </w:rPr>
              <w:t>201</w:t>
            </w:r>
            <w:r w:rsidR="00133A67">
              <w:rPr>
                <w:b/>
              </w:rPr>
              <w:t>9</w:t>
            </w:r>
          </w:p>
          <w:p w14:paraId="6F4677D3" w14:textId="77777777" w:rsidR="00293511" w:rsidRPr="0028399E" w:rsidRDefault="00293511" w:rsidP="00913721">
            <w:pPr>
              <w:keepNext/>
              <w:keepLines/>
              <w:jc w:val="right"/>
              <w:rPr>
                <w:b/>
              </w:rPr>
            </w:pPr>
            <w:r>
              <w:rPr>
                <w:b/>
              </w:rPr>
              <w:t>TOTAL</w:t>
            </w:r>
          </w:p>
        </w:tc>
      </w:tr>
      <w:tr w:rsidR="00133A67" w:rsidRPr="0028399E" w14:paraId="30108791" w14:textId="77777777" w:rsidTr="00913721">
        <w:trPr>
          <w:cantSplit/>
          <w:trHeight w:val="962"/>
        </w:trPr>
        <w:tc>
          <w:tcPr>
            <w:tcW w:w="1908" w:type="dxa"/>
            <w:tcBorders>
              <w:left w:val="single" w:sz="4" w:space="0" w:color="auto"/>
              <w:bottom w:val="nil"/>
            </w:tcBorders>
          </w:tcPr>
          <w:p w14:paraId="47B4D057" w14:textId="77777777" w:rsidR="00133A67" w:rsidRPr="0028399E" w:rsidRDefault="00133A67" w:rsidP="00913721">
            <w:pPr>
              <w:keepNext/>
              <w:keepLines/>
              <w:rPr>
                <w:b/>
              </w:rPr>
            </w:pPr>
            <w:r w:rsidRPr="0028399E">
              <w:rPr>
                <w:b/>
              </w:rPr>
              <w:t>Stations</w:t>
            </w:r>
          </w:p>
          <w:p w14:paraId="7EA9843A" w14:textId="77777777" w:rsidR="00133A67" w:rsidRPr="0028399E" w:rsidRDefault="00133A67" w:rsidP="00913721">
            <w:pPr>
              <w:keepNext/>
              <w:keepLines/>
              <w:rPr>
                <w:b/>
              </w:rPr>
            </w:pPr>
            <w:r w:rsidRPr="0028399E">
              <w:rPr>
                <w:b/>
              </w:rPr>
              <w:t>and</w:t>
            </w:r>
          </w:p>
          <w:p w14:paraId="4842911E" w14:textId="77777777" w:rsidR="00133A67" w:rsidRPr="0028399E" w:rsidRDefault="00133A67" w:rsidP="00913721">
            <w:pPr>
              <w:keepNext/>
              <w:keepLines/>
              <w:rPr>
                <w:u w:val="single"/>
              </w:rPr>
            </w:pPr>
            <w:r w:rsidRPr="0028399E">
              <w:rPr>
                <w:b/>
              </w:rPr>
              <w:t>Inspectors</w:t>
            </w:r>
          </w:p>
        </w:tc>
        <w:tc>
          <w:tcPr>
            <w:tcW w:w="4770" w:type="dxa"/>
            <w:tcBorders>
              <w:left w:val="single" w:sz="4" w:space="0" w:color="auto"/>
              <w:bottom w:val="nil"/>
            </w:tcBorders>
          </w:tcPr>
          <w:p w14:paraId="3CC6030A" w14:textId="77777777" w:rsidR="00133A67" w:rsidRPr="00F6598C" w:rsidRDefault="00133A67" w:rsidP="00913721">
            <w:pPr>
              <w:keepNext/>
              <w:keepLines/>
              <w:rPr>
                <w:sz w:val="22"/>
                <w:szCs w:val="22"/>
              </w:rPr>
            </w:pPr>
            <w:r w:rsidRPr="00F6598C">
              <w:rPr>
                <w:sz w:val="22"/>
                <w:szCs w:val="22"/>
              </w:rPr>
              <w:t>Inspection Stations</w:t>
            </w:r>
          </w:p>
          <w:p w14:paraId="136F79FE" w14:textId="77777777" w:rsidR="00133A67" w:rsidRPr="00F6598C" w:rsidRDefault="00133A67" w:rsidP="00293511">
            <w:pPr>
              <w:numPr>
                <w:ilvl w:val="0"/>
                <w:numId w:val="2"/>
              </w:numPr>
              <w:ind w:left="195" w:hanging="180"/>
              <w:contextualSpacing/>
              <w:rPr>
                <w:sz w:val="22"/>
                <w:szCs w:val="22"/>
              </w:rPr>
            </w:pPr>
            <w:r w:rsidRPr="00F6598C">
              <w:rPr>
                <w:sz w:val="22"/>
                <w:szCs w:val="22"/>
              </w:rPr>
              <w:t>Number of stations inspecting vehicles throughout the period</w:t>
            </w:r>
          </w:p>
        </w:tc>
        <w:tc>
          <w:tcPr>
            <w:tcW w:w="1350" w:type="dxa"/>
            <w:tcBorders>
              <w:bottom w:val="nil"/>
            </w:tcBorders>
          </w:tcPr>
          <w:p w14:paraId="36A7B335" w14:textId="77777777" w:rsidR="00133A67" w:rsidRDefault="00133A67" w:rsidP="00480965">
            <w:pPr>
              <w:keepNext/>
              <w:keepLines/>
              <w:jc w:val="right"/>
            </w:pPr>
          </w:p>
          <w:p w14:paraId="49CFBFB7" w14:textId="078327B4" w:rsidR="00133A67" w:rsidRDefault="00133A67" w:rsidP="00BD0C69">
            <w:pPr>
              <w:keepNext/>
              <w:keepLines/>
              <w:jc w:val="right"/>
            </w:pPr>
            <w:r w:rsidRPr="00FD0491">
              <w:t>1,575</w:t>
            </w:r>
          </w:p>
        </w:tc>
        <w:tc>
          <w:tcPr>
            <w:tcW w:w="1350" w:type="dxa"/>
            <w:tcBorders>
              <w:bottom w:val="nil"/>
            </w:tcBorders>
          </w:tcPr>
          <w:p w14:paraId="41FAA858" w14:textId="77777777" w:rsidR="00133A67" w:rsidRDefault="00133A67" w:rsidP="00480965">
            <w:pPr>
              <w:keepNext/>
              <w:keepLines/>
              <w:jc w:val="right"/>
            </w:pPr>
          </w:p>
          <w:p w14:paraId="073FA7AF" w14:textId="1111A10E" w:rsidR="00133A67" w:rsidRDefault="00133A67" w:rsidP="00BD0C69">
            <w:pPr>
              <w:keepNext/>
              <w:keepLines/>
              <w:jc w:val="right"/>
            </w:pPr>
            <w:r w:rsidRPr="00FD0491">
              <w:t>1,5</w:t>
            </w:r>
            <w:r>
              <w:t>91</w:t>
            </w:r>
          </w:p>
        </w:tc>
      </w:tr>
      <w:tr w:rsidR="00133A67" w:rsidRPr="0028399E" w14:paraId="7A56C59F" w14:textId="77777777" w:rsidTr="00913721">
        <w:trPr>
          <w:cantSplit/>
          <w:trHeight w:val="990"/>
        </w:trPr>
        <w:tc>
          <w:tcPr>
            <w:tcW w:w="1908" w:type="dxa"/>
            <w:tcBorders>
              <w:top w:val="nil"/>
              <w:left w:val="single" w:sz="4" w:space="0" w:color="auto"/>
              <w:bottom w:val="nil"/>
            </w:tcBorders>
          </w:tcPr>
          <w:p w14:paraId="052D98DA" w14:textId="77777777" w:rsidR="00133A67" w:rsidRPr="0028399E" w:rsidRDefault="00133A67" w:rsidP="00913721">
            <w:pPr>
              <w:ind w:left="15"/>
            </w:pPr>
          </w:p>
        </w:tc>
        <w:tc>
          <w:tcPr>
            <w:tcW w:w="4770" w:type="dxa"/>
            <w:tcBorders>
              <w:top w:val="nil"/>
              <w:left w:val="single" w:sz="4" w:space="0" w:color="auto"/>
              <w:bottom w:val="nil"/>
            </w:tcBorders>
          </w:tcPr>
          <w:p w14:paraId="414D8823" w14:textId="77777777" w:rsidR="00133A67" w:rsidRPr="00F6598C" w:rsidRDefault="00133A67" w:rsidP="00293511">
            <w:pPr>
              <w:numPr>
                <w:ilvl w:val="0"/>
                <w:numId w:val="2"/>
              </w:numPr>
              <w:ind w:left="195" w:hanging="180"/>
              <w:contextualSpacing/>
              <w:rPr>
                <w:sz w:val="22"/>
                <w:szCs w:val="22"/>
              </w:rPr>
            </w:pPr>
            <w:r w:rsidRPr="00F6598C">
              <w:rPr>
                <w:sz w:val="22"/>
                <w:szCs w:val="22"/>
              </w:rPr>
              <w:t>Number of RMV site audits of inspection stations (most stations were audited multiple times)</w:t>
            </w:r>
          </w:p>
        </w:tc>
        <w:tc>
          <w:tcPr>
            <w:tcW w:w="1350" w:type="dxa"/>
            <w:tcBorders>
              <w:top w:val="nil"/>
              <w:bottom w:val="nil"/>
            </w:tcBorders>
          </w:tcPr>
          <w:p w14:paraId="566C6F3F" w14:textId="77777777" w:rsidR="00133A67" w:rsidRDefault="00133A67" w:rsidP="00480965">
            <w:pPr>
              <w:jc w:val="right"/>
            </w:pPr>
            <w:r>
              <w:t>7,324</w:t>
            </w:r>
          </w:p>
        </w:tc>
        <w:tc>
          <w:tcPr>
            <w:tcW w:w="1350" w:type="dxa"/>
            <w:tcBorders>
              <w:top w:val="nil"/>
              <w:bottom w:val="nil"/>
            </w:tcBorders>
          </w:tcPr>
          <w:p w14:paraId="18F49722" w14:textId="77777777" w:rsidR="00133A67" w:rsidRDefault="00133A67" w:rsidP="00480965">
            <w:pPr>
              <w:jc w:val="right"/>
            </w:pPr>
            <w:r>
              <w:t>6,983</w:t>
            </w:r>
          </w:p>
        </w:tc>
      </w:tr>
      <w:tr w:rsidR="00133A67" w:rsidRPr="0028399E" w14:paraId="27F03BEA" w14:textId="77777777" w:rsidTr="00913721">
        <w:trPr>
          <w:cantSplit/>
        </w:trPr>
        <w:tc>
          <w:tcPr>
            <w:tcW w:w="1908" w:type="dxa"/>
            <w:tcBorders>
              <w:top w:val="nil"/>
              <w:left w:val="single" w:sz="4" w:space="0" w:color="auto"/>
              <w:bottom w:val="nil"/>
            </w:tcBorders>
          </w:tcPr>
          <w:p w14:paraId="6DE84F88" w14:textId="77777777" w:rsidR="00133A67" w:rsidRPr="0028399E" w:rsidRDefault="00133A67" w:rsidP="00913721">
            <w:pPr>
              <w:ind w:left="15"/>
            </w:pPr>
          </w:p>
        </w:tc>
        <w:tc>
          <w:tcPr>
            <w:tcW w:w="4770" w:type="dxa"/>
            <w:tcBorders>
              <w:top w:val="nil"/>
              <w:left w:val="single" w:sz="4" w:space="0" w:color="auto"/>
              <w:bottom w:val="single" w:sz="4" w:space="0" w:color="auto"/>
            </w:tcBorders>
          </w:tcPr>
          <w:p w14:paraId="04400E78" w14:textId="6C5C6150" w:rsidR="00133A67" w:rsidRPr="00F6598C" w:rsidRDefault="00133A67" w:rsidP="00293511">
            <w:pPr>
              <w:numPr>
                <w:ilvl w:val="0"/>
                <w:numId w:val="2"/>
              </w:numPr>
              <w:ind w:left="195" w:hanging="180"/>
              <w:contextualSpacing/>
              <w:rPr>
                <w:sz w:val="22"/>
                <w:szCs w:val="22"/>
              </w:rPr>
            </w:pPr>
            <w:r w:rsidRPr="00F6598C">
              <w:rPr>
                <w:sz w:val="22"/>
                <w:szCs w:val="22"/>
              </w:rPr>
              <w:t>Number of adverse RMV enforcement actions (license revoked, license suspended, warning)</w:t>
            </w:r>
          </w:p>
        </w:tc>
        <w:tc>
          <w:tcPr>
            <w:tcW w:w="1350" w:type="dxa"/>
            <w:tcBorders>
              <w:top w:val="nil"/>
              <w:bottom w:val="single" w:sz="4" w:space="0" w:color="auto"/>
            </w:tcBorders>
          </w:tcPr>
          <w:p w14:paraId="2877C106" w14:textId="77777777" w:rsidR="00133A67" w:rsidRDefault="00133A67" w:rsidP="00480965">
            <w:pPr>
              <w:jc w:val="right"/>
            </w:pPr>
            <w:r>
              <w:t>158</w:t>
            </w:r>
          </w:p>
        </w:tc>
        <w:tc>
          <w:tcPr>
            <w:tcW w:w="1350" w:type="dxa"/>
            <w:tcBorders>
              <w:top w:val="nil"/>
              <w:bottom w:val="single" w:sz="4" w:space="0" w:color="auto"/>
            </w:tcBorders>
          </w:tcPr>
          <w:p w14:paraId="1534DC33" w14:textId="77777777" w:rsidR="00133A67" w:rsidRDefault="00133A67" w:rsidP="00480965">
            <w:pPr>
              <w:jc w:val="right"/>
            </w:pPr>
            <w:r>
              <w:t>301</w:t>
            </w:r>
          </w:p>
        </w:tc>
      </w:tr>
      <w:tr w:rsidR="00133A67" w:rsidRPr="0028399E" w14:paraId="5CAA9595" w14:textId="77777777" w:rsidTr="00913721">
        <w:trPr>
          <w:cantSplit/>
          <w:trHeight w:val="1007"/>
        </w:trPr>
        <w:tc>
          <w:tcPr>
            <w:tcW w:w="1908" w:type="dxa"/>
            <w:tcBorders>
              <w:top w:val="nil"/>
              <w:left w:val="single" w:sz="4" w:space="0" w:color="auto"/>
              <w:bottom w:val="nil"/>
            </w:tcBorders>
          </w:tcPr>
          <w:p w14:paraId="46373A01" w14:textId="77777777" w:rsidR="00133A67" w:rsidRPr="0028399E" w:rsidRDefault="00133A67" w:rsidP="00913721">
            <w:pPr>
              <w:rPr>
                <w:u w:val="single"/>
              </w:rPr>
            </w:pPr>
          </w:p>
        </w:tc>
        <w:tc>
          <w:tcPr>
            <w:tcW w:w="4770" w:type="dxa"/>
            <w:tcBorders>
              <w:left w:val="single" w:sz="4" w:space="0" w:color="auto"/>
              <w:bottom w:val="nil"/>
            </w:tcBorders>
          </w:tcPr>
          <w:p w14:paraId="4FB90277" w14:textId="77777777" w:rsidR="00133A67" w:rsidRPr="00F6598C" w:rsidRDefault="00133A67" w:rsidP="00913721">
            <w:pPr>
              <w:rPr>
                <w:sz w:val="22"/>
                <w:szCs w:val="22"/>
              </w:rPr>
            </w:pPr>
            <w:r w:rsidRPr="00F6598C">
              <w:rPr>
                <w:sz w:val="22"/>
                <w:szCs w:val="22"/>
              </w:rPr>
              <w:t>Inspectors</w:t>
            </w:r>
          </w:p>
          <w:p w14:paraId="07A081BA" w14:textId="77777777" w:rsidR="00133A67" w:rsidRPr="00F6598C" w:rsidRDefault="00133A67" w:rsidP="00293511">
            <w:pPr>
              <w:numPr>
                <w:ilvl w:val="0"/>
                <w:numId w:val="2"/>
              </w:numPr>
              <w:ind w:left="195" w:hanging="180"/>
              <w:contextualSpacing/>
              <w:rPr>
                <w:sz w:val="22"/>
                <w:szCs w:val="22"/>
              </w:rPr>
            </w:pPr>
            <w:r w:rsidRPr="00F6598C">
              <w:rPr>
                <w:sz w:val="22"/>
                <w:szCs w:val="22"/>
              </w:rPr>
              <w:t>Number of licensed inspectors that performed at least one test during the period</w:t>
            </w:r>
          </w:p>
        </w:tc>
        <w:tc>
          <w:tcPr>
            <w:tcW w:w="1350" w:type="dxa"/>
            <w:tcBorders>
              <w:bottom w:val="nil"/>
            </w:tcBorders>
          </w:tcPr>
          <w:p w14:paraId="339D5EAA" w14:textId="77777777" w:rsidR="00133A67" w:rsidRDefault="00133A67" w:rsidP="00480965">
            <w:pPr>
              <w:jc w:val="right"/>
            </w:pPr>
          </w:p>
          <w:p w14:paraId="7D4E6BA9" w14:textId="04A55B90" w:rsidR="00133A67" w:rsidRDefault="00133A67" w:rsidP="00BD0C69">
            <w:pPr>
              <w:jc w:val="right"/>
            </w:pPr>
            <w:r w:rsidRPr="00FD0491">
              <w:t>6,683</w:t>
            </w:r>
          </w:p>
        </w:tc>
        <w:tc>
          <w:tcPr>
            <w:tcW w:w="1350" w:type="dxa"/>
            <w:tcBorders>
              <w:bottom w:val="nil"/>
            </w:tcBorders>
          </w:tcPr>
          <w:p w14:paraId="44851CCB" w14:textId="77777777" w:rsidR="00133A67" w:rsidRDefault="00133A67" w:rsidP="00480965">
            <w:pPr>
              <w:jc w:val="right"/>
            </w:pPr>
          </w:p>
          <w:p w14:paraId="5BE0DDD2" w14:textId="23BDFFA4" w:rsidR="00133A67" w:rsidRDefault="00133A67" w:rsidP="00BD0C69">
            <w:pPr>
              <w:jc w:val="right"/>
            </w:pPr>
            <w:r w:rsidRPr="00FD0491">
              <w:t>6,</w:t>
            </w:r>
            <w:r>
              <w:t>913</w:t>
            </w:r>
          </w:p>
        </w:tc>
      </w:tr>
      <w:tr w:rsidR="00133A67" w:rsidRPr="002C1640" w14:paraId="5518777A" w14:textId="77777777" w:rsidTr="00913721">
        <w:trPr>
          <w:cantSplit/>
        </w:trPr>
        <w:tc>
          <w:tcPr>
            <w:tcW w:w="1908" w:type="dxa"/>
            <w:tcBorders>
              <w:top w:val="nil"/>
              <w:left w:val="single" w:sz="4" w:space="0" w:color="auto"/>
              <w:bottom w:val="nil"/>
            </w:tcBorders>
          </w:tcPr>
          <w:p w14:paraId="17395C3C" w14:textId="77777777" w:rsidR="00133A67" w:rsidRPr="0028399E" w:rsidRDefault="00133A67" w:rsidP="00913721">
            <w:pPr>
              <w:rPr>
                <w:u w:val="single"/>
              </w:rPr>
            </w:pPr>
          </w:p>
        </w:tc>
        <w:tc>
          <w:tcPr>
            <w:tcW w:w="4770" w:type="dxa"/>
            <w:tcBorders>
              <w:top w:val="nil"/>
              <w:left w:val="single" w:sz="4" w:space="0" w:color="auto"/>
              <w:bottom w:val="single" w:sz="4" w:space="0" w:color="auto"/>
            </w:tcBorders>
          </w:tcPr>
          <w:p w14:paraId="0E941AE1" w14:textId="1CF98776" w:rsidR="00133A67" w:rsidRPr="00F6598C" w:rsidRDefault="00133A67" w:rsidP="00293511">
            <w:pPr>
              <w:numPr>
                <w:ilvl w:val="0"/>
                <w:numId w:val="2"/>
              </w:numPr>
              <w:ind w:left="195" w:hanging="180"/>
              <w:contextualSpacing/>
              <w:rPr>
                <w:sz w:val="22"/>
                <w:szCs w:val="22"/>
              </w:rPr>
            </w:pPr>
            <w:r w:rsidRPr="00F6598C">
              <w:rPr>
                <w:sz w:val="22"/>
                <w:szCs w:val="22"/>
              </w:rPr>
              <w:t>Number of adverse RMV enforcement actions (license revoked, license suspended, warning)</w:t>
            </w:r>
          </w:p>
        </w:tc>
        <w:tc>
          <w:tcPr>
            <w:tcW w:w="1350" w:type="dxa"/>
            <w:tcBorders>
              <w:top w:val="nil"/>
              <w:bottom w:val="single" w:sz="4" w:space="0" w:color="auto"/>
            </w:tcBorders>
          </w:tcPr>
          <w:p w14:paraId="62D7DC3D" w14:textId="77777777" w:rsidR="00133A67" w:rsidRDefault="00133A67" w:rsidP="00480965">
            <w:pPr>
              <w:jc w:val="right"/>
            </w:pPr>
            <w:r>
              <w:t>139</w:t>
            </w:r>
          </w:p>
        </w:tc>
        <w:tc>
          <w:tcPr>
            <w:tcW w:w="1350" w:type="dxa"/>
            <w:tcBorders>
              <w:top w:val="nil"/>
              <w:bottom w:val="single" w:sz="4" w:space="0" w:color="auto"/>
            </w:tcBorders>
          </w:tcPr>
          <w:p w14:paraId="0E28FA56" w14:textId="77777777" w:rsidR="00133A67" w:rsidRDefault="00133A67" w:rsidP="00480965">
            <w:pPr>
              <w:jc w:val="right"/>
            </w:pPr>
            <w:r>
              <w:t>296</w:t>
            </w:r>
          </w:p>
        </w:tc>
      </w:tr>
      <w:tr w:rsidR="00133A67" w:rsidRPr="0028399E" w14:paraId="0EDAA0A5" w14:textId="77777777" w:rsidTr="00913721">
        <w:trPr>
          <w:cantSplit/>
        </w:trPr>
        <w:tc>
          <w:tcPr>
            <w:tcW w:w="1908" w:type="dxa"/>
            <w:tcBorders>
              <w:top w:val="nil"/>
              <w:left w:val="single" w:sz="4" w:space="0" w:color="auto"/>
              <w:bottom w:val="nil"/>
            </w:tcBorders>
          </w:tcPr>
          <w:p w14:paraId="26AC730A" w14:textId="77777777" w:rsidR="00133A67" w:rsidRPr="0028399E" w:rsidRDefault="00133A67" w:rsidP="00913721"/>
        </w:tc>
        <w:tc>
          <w:tcPr>
            <w:tcW w:w="4770" w:type="dxa"/>
            <w:tcBorders>
              <w:left w:val="single" w:sz="4" w:space="0" w:color="auto"/>
              <w:bottom w:val="nil"/>
            </w:tcBorders>
          </w:tcPr>
          <w:p w14:paraId="40C619CE" w14:textId="77777777" w:rsidR="00133A67" w:rsidRPr="00F6598C" w:rsidRDefault="00133A67" w:rsidP="00913721">
            <w:pPr>
              <w:rPr>
                <w:sz w:val="22"/>
                <w:szCs w:val="22"/>
              </w:rPr>
            </w:pPr>
            <w:r w:rsidRPr="00F6598C">
              <w:rPr>
                <w:sz w:val="22"/>
                <w:szCs w:val="22"/>
              </w:rPr>
              <w:t>Totals penalties assessed against stations and inspectors</w:t>
            </w:r>
          </w:p>
          <w:p w14:paraId="0AD8BF24" w14:textId="77777777" w:rsidR="00133A67" w:rsidRPr="00F6598C" w:rsidRDefault="00133A67" w:rsidP="00913721">
            <w:pPr>
              <w:rPr>
                <w:sz w:val="22"/>
                <w:szCs w:val="22"/>
              </w:rPr>
            </w:pPr>
          </w:p>
        </w:tc>
        <w:tc>
          <w:tcPr>
            <w:tcW w:w="1350" w:type="dxa"/>
            <w:tcBorders>
              <w:bottom w:val="nil"/>
            </w:tcBorders>
          </w:tcPr>
          <w:p w14:paraId="3829909C" w14:textId="77777777" w:rsidR="00133A67" w:rsidRDefault="00133A67" w:rsidP="00480965">
            <w:pPr>
              <w:jc w:val="right"/>
            </w:pPr>
            <w:r>
              <w:t>$0</w:t>
            </w:r>
          </w:p>
        </w:tc>
        <w:tc>
          <w:tcPr>
            <w:tcW w:w="1350" w:type="dxa"/>
            <w:tcBorders>
              <w:bottom w:val="nil"/>
            </w:tcBorders>
          </w:tcPr>
          <w:p w14:paraId="2D9D83EB" w14:textId="47F4F2FA" w:rsidR="00133A67" w:rsidRDefault="00133A67" w:rsidP="001B33E8">
            <w:pPr>
              <w:jc w:val="right"/>
            </w:pPr>
            <w:r>
              <w:t>$</w:t>
            </w:r>
            <w:r w:rsidR="001B33E8">
              <w:t>20,000</w:t>
            </w:r>
          </w:p>
        </w:tc>
      </w:tr>
      <w:tr w:rsidR="00133A67" w:rsidRPr="0028399E" w14:paraId="2BAFD152" w14:textId="77777777" w:rsidTr="00913721">
        <w:trPr>
          <w:cantSplit/>
        </w:trPr>
        <w:tc>
          <w:tcPr>
            <w:tcW w:w="1908" w:type="dxa"/>
            <w:tcBorders>
              <w:top w:val="nil"/>
              <w:left w:val="single" w:sz="4" w:space="0" w:color="auto"/>
              <w:bottom w:val="nil"/>
            </w:tcBorders>
          </w:tcPr>
          <w:p w14:paraId="74519E59" w14:textId="77777777" w:rsidR="00133A67" w:rsidRPr="0028399E" w:rsidRDefault="00133A67" w:rsidP="00913721"/>
        </w:tc>
        <w:tc>
          <w:tcPr>
            <w:tcW w:w="4770" w:type="dxa"/>
            <w:tcBorders>
              <w:top w:val="nil"/>
              <w:left w:val="single" w:sz="4" w:space="0" w:color="auto"/>
              <w:bottom w:val="single" w:sz="4" w:space="0" w:color="auto"/>
            </w:tcBorders>
          </w:tcPr>
          <w:p w14:paraId="7A34B650" w14:textId="2BCE8D0A" w:rsidR="00133A67" w:rsidRPr="00F6598C" w:rsidRDefault="00133A67" w:rsidP="00913721">
            <w:pPr>
              <w:rPr>
                <w:sz w:val="22"/>
                <w:szCs w:val="22"/>
              </w:rPr>
            </w:pPr>
            <w:r w:rsidRPr="00F6598C">
              <w:rPr>
                <w:sz w:val="22"/>
                <w:szCs w:val="22"/>
              </w:rPr>
              <w:t>Amount of penalties stayed</w:t>
            </w:r>
            <w:r w:rsidRPr="00F6598C">
              <w:rPr>
                <w:sz w:val="22"/>
                <w:szCs w:val="22"/>
              </w:rPr>
              <w:br/>
              <w:t>(Penalties stayed as long as stations and inspectors comply with all program requirements during the period covered by the settlement)</w:t>
            </w:r>
          </w:p>
        </w:tc>
        <w:tc>
          <w:tcPr>
            <w:tcW w:w="1350" w:type="dxa"/>
            <w:tcBorders>
              <w:top w:val="nil"/>
              <w:bottom w:val="single" w:sz="4" w:space="0" w:color="auto"/>
            </w:tcBorders>
          </w:tcPr>
          <w:p w14:paraId="5343102D" w14:textId="77777777" w:rsidR="00133A67" w:rsidRDefault="00133A67" w:rsidP="00480965">
            <w:pPr>
              <w:jc w:val="right"/>
            </w:pPr>
            <w:r>
              <w:t>$0</w:t>
            </w:r>
          </w:p>
        </w:tc>
        <w:tc>
          <w:tcPr>
            <w:tcW w:w="1350" w:type="dxa"/>
            <w:tcBorders>
              <w:top w:val="nil"/>
              <w:bottom w:val="single" w:sz="4" w:space="0" w:color="auto"/>
            </w:tcBorders>
          </w:tcPr>
          <w:p w14:paraId="4ED06497" w14:textId="7D70DAA3" w:rsidR="00133A67" w:rsidRDefault="00133A67" w:rsidP="00480965">
            <w:pPr>
              <w:jc w:val="right"/>
            </w:pPr>
            <w:r>
              <w:t>$0</w:t>
            </w:r>
          </w:p>
        </w:tc>
      </w:tr>
      <w:tr w:rsidR="00133A67" w:rsidRPr="0028399E" w14:paraId="563F1D09" w14:textId="77777777" w:rsidTr="00913721">
        <w:trPr>
          <w:cantSplit/>
        </w:trPr>
        <w:tc>
          <w:tcPr>
            <w:tcW w:w="1908" w:type="dxa"/>
            <w:tcBorders>
              <w:top w:val="nil"/>
              <w:left w:val="single" w:sz="4" w:space="0" w:color="auto"/>
              <w:bottom w:val="nil"/>
            </w:tcBorders>
          </w:tcPr>
          <w:p w14:paraId="12FDEFD0" w14:textId="77777777" w:rsidR="00133A67" w:rsidRPr="0028399E" w:rsidRDefault="00133A67" w:rsidP="00913721"/>
        </w:tc>
        <w:tc>
          <w:tcPr>
            <w:tcW w:w="4770" w:type="dxa"/>
            <w:tcBorders>
              <w:left w:val="single" w:sz="4" w:space="0" w:color="auto"/>
              <w:bottom w:val="nil"/>
            </w:tcBorders>
          </w:tcPr>
          <w:p w14:paraId="32E5BACE" w14:textId="77777777" w:rsidR="00133A67" w:rsidRPr="00F6598C" w:rsidRDefault="00133A67" w:rsidP="00913721">
            <w:pPr>
              <w:rPr>
                <w:sz w:val="22"/>
                <w:szCs w:val="22"/>
              </w:rPr>
            </w:pPr>
            <w:r w:rsidRPr="00F6598C">
              <w:rPr>
                <w:sz w:val="22"/>
                <w:szCs w:val="22"/>
              </w:rPr>
              <w:t>Number of covert vehicle audits</w:t>
            </w:r>
          </w:p>
          <w:p w14:paraId="323C4C2D" w14:textId="77777777" w:rsidR="00133A67" w:rsidRPr="00F6598C" w:rsidRDefault="00133A67" w:rsidP="00913721">
            <w:pPr>
              <w:rPr>
                <w:sz w:val="22"/>
                <w:szCs w:val="22"/>
              </w:rPr>
            </w:pPr>
          </w:p>
        </w:tc>
        <w:tc>
          <w:tcPr>
            <w:tcW w:w="1350" w:type="dxa"/>
            <w:tcBorders>
              <w:bottom w:val="nil"/>
            </w:tcBorders>
          </w:tcPr>
          <w:p w14:paraId="4E431DEF" w14:textId="77777777" w:rsidR="00133A67" w:rsidRDefault="00133A67" w:rsidP="00480965">
            <w:pPr>
              <w:jc w:val="right"/>
            </w:pPr>
            <w:r>
              <w:t>908</w:t>
            </w:r>
          </w:p>
        </w:tc>
        <w:tc>
          <w:tcPr>
            <w:tcW w:w="1350" w:type="dxa"/>
            <w:tcBorders>
              <w:bottom w:val="nil"/>
            </w:tcBorders>
          </w:tcPr>
          <w:p w14:paraId="7FE02D84" w14:textId="77777777" w:rsidR="00133A67" w:rsidRDefault="00133A67" w:rsidP="00480965">
            <w:pPr>
              <w:jc w:val="right"/>
            </w:pPr>
            <w:r>
              <w:t>910</w:t>
            </w:r>
          </w:p>
        </w:tc>
      </w:tr>
      <w:tr w:rsidR="00133A67" w:rsidRPr="0028399E" w14:paraId="3561870E" w14:textId="77777777" w:rsidTr="00913721">
        <w:trPr>
          <w:cantSplit/>
        </w:trPr>
        <w:tc>
          <w:tcPr>
            <w:tcW w:w="1908" w:type="dxa"/>
            <w:tcBorders>
              <w:top w:val="nil"/>
              <w:left w:val="single" w:sz="4" w:space="0" w:color="auto"/>
              <w:bottom w:val="single" w:sz="4" w:space="0" w:color="auto"/>
            </w:tcBorders>
          </w:tcPr>
          <w:p w14:paraId="4E49B451" w14:textId="77777777" w:rsidR="00133A67" w:rsidRPr="0028399E" w:rsidRDefault="00133A67" w:rsidP="00913721"/>
        </w:tc>
        <w:tc>
          <w:tcPr>
            <w:tcW w:w="4770" w:type="dxa"/>
            <w:tcBorders>
              <w:top w:val="nil"/>
              <w:left w:val="single" w:sz="4" w:space="0" w:color="auto"/>
            </w:tcBorders>
          </w:tcPr>
          <w:p w14:paraId="7C975D4A" w14:textId="5852FA75" w:rsidR="00133A67" w:rsidRPr="00F6598C" w:rsidRDefault="00133A67" w:rsidP="00913721">
            <w:pPr>
              <w:rPr>
                <w:sz w:val="22"/>
                <w:szCs w:val="22"/>
              </w:rPr>
            </w:pPr>
            <w:r w:rsidRPr="00F6598C">
              <w:rPr>
                <w:sz w:val="22"/>
                <w:szCs w:val="22"/>
              </w:rPr>
              <w:t>Number of covert vehicles audits that falsely passed OBD</w:t>
            </w:r>
          </w:p>
        </w:tc>
        <w:tc>
          <w:tcPr>
            <w:tcW w:w="1350" w:type="dxa"/>
            <w:tcBorders>
              <w:top w:val="nil"/>
            </w:tcBorders>
          </w:tcPr>
          <w:p w14:paraId="55E2E63A" w14:textId="77777777" w:rsidR="00133A67" w:rsidRDefault="00133A67" w:rsidP="00480965">
            <w:pPr>
              <w:jc w:val="right"/>
            </w:pPr>
            <w:r>
              <w:t>0</w:t>
            </w:r>
          </w:p>
        </w:tc>
        <w:tc>
          <w:tcPr>
            <w:tcW w:w="1350" w:type="dxa"/>
            <w:tcBorders>
              <w:top w:val="nil"/>
            </w:tcBorders>
          </w:tcPr>
          <w:p w14:paraId="7CA73321" w14:textId="77777777" w:rsidR="00133A67" w:rsidRDefault="00133A67" w:rsidP="00480965">
            <w:pPr>
              <w:jc w:val="right"/>
            </w:pPr>
            <w:r>
              <w:t>0</w:t>
            </w:r>
          </w:p>
        </w:tc>
      </w:tr>
    </w:tbl>
    <w:p w14:paraId="7986E68B" w14:textId="77777777" w:rsidR="00DA217C" w:rsidRDefault="00DA217C">
      <w:pPr>
        <w:rPr>
          <w:sz w:val="22"/>
          <w:szCs w:val="22"/>
          <w:highlight w:val="yellow"/>
        </w:rPr>
      </w:pPr>
      <w:r>
        <w:rPr>
          <w:b/>
          <w:bCs/>
          <w:sz w:val="22"/>
          <w:szCs w:val="22"/>
          <w:highlight w:val="yellow"/>
        </w:rPr>
        <w:br w:type="page"/>
      </w:r>
    </w:p>
    <w:p w14:paraId="4747671E" w14:textId="37198355" w:rsidR="00B41967" w:rsidRPr="00464F37" w:rsidRDefault="00B41967" w:rsidP="00C43331">
      <w:pPr>
        <w:pStyle w:val="Heading"/>
        <w:spacing w:before="0"/>
        <w:rPr>
          <w:bCs/>
        </w:rPr>
      </w:pPr>
      <w:r w:rsidRPr="00750152">
        <w:lastRenderedPageBreak/>
        <w:t>Program Changes I</w:t>
      </w:r>
      <w:r w:rsidRPr="00464F37">
        <w:t xml:space="preserve">mplemented in </w:t>
      </w:r>
      <w:r w:rsidR="004E22AA">
        <w:t>2018</w:t>
      </w:r>
      <w:r w:rsidR="00516C29">
        <w:t>-</w:t>
      </w:r>
      <w:r w:rsidR="004E22AA">
        <w:t>2019</w:t>
      </w:r>
    </w:p>
    <w:p w14:paraId="194BD739" w14:textId="0F216D56" w:rsidR="00B41967" w:rsidRPr="00464F37" w:rsidRDefault="005E3B9B" w:rsidP="00850358">
      <w:pPr>
        <w:pStyle w:val="Text"/>
      </w:pPr>
      <w:r w:rsidRPr="00464F37">
        <w:t>As required by EPA’s regulations</w:t>
      </w:r>
      <w:r w:rsidRPr="00464F37">
        <w:rPr>
          <w:rStyle w:val="FootnoteReference"/>
          <w:i/>
          <w:iCs/>
          <w:sz w:val="22"/>
          <w:szCs w:val="22"/>
        </w:rPr>
        <w:footnoteReference w:id="2"/>
      </w:r>
      <w:r w:rsidRPr="00464F37">
        <w:t xml:space="preserve"> defining biennial reporting requirements, the following summarizes the</w:t>
      </w:r>
      <w:r w:rsidRPr="007B797A">
        <w:t xml:space="preserve"> </w:t>
      </w:r>
      <w:r w:rsidR="004E22AA">
        <w:t>2018</w:t>
      </w:r>
      <w:r w:rsidR="004E22AA" w:rsidRPr="007B797A">
        <w:t xml:space="preserve"> </w:t>
      </w:r>
      <w:r w:rsidR="00EE01DB" w:rsidRPr="007B797A">
        <w:t xml:space="preserve">and </w:t>
      </w:r>
      <w:r w:rsidR="004E22AA">
        <w:t>2019</w:t>
      </w:r>
      <w:r w:rsidR="004E22AA" w:rsidRPr="007B797A">
        <w:t xml:space="preserve"> </w:t>
      </w:r>
      <w:r w:rsidRPr="007B797A">
        <w:t>chang</w:t>
      </w:r>
      <w:r w:rsidRPr="00464F37">
        <w:t>es made in program design, funding, personnel levels, procedures, regulations, and legal authority.</w:t>
      </w:r>
      <w:r w:rsidR="00091CD3">
        <w:t xml:space="preserve">  </w:t>
      </w:r>
      <w:r w:rsidR="004E22AA">
        <w:t xml:space="preserve">2018 </w:t>
      </w:r>
      <w:r w:rsidR="00091CD3">
        <w:t xml:space="preserve">and </w:t>
      </w:r>
      <w:r w:rsidR="004E22AA">
        <w:t xml:space="preserve">2019 </w:t>
      </w:r>
      <w:r w:rsidR="00091CD3">
        <w:t xml:space="preserve">were the </w:t>
      </w:r>
      <w:r w:rsidR="004E22AA">
        <w:t xml:space="preserve">tenth </w:t>
      </w:r>
      <w:r w:rsidR="00FE6834">
        <w:t xml:space="preserve">and </w:t>
      </w:r>
      <w:r w:rsidR="004E22AA">
        <w:t xml:space="preserve">eleventh </w:t>
      </w:r>
      <w:r w:rsidR="00091CD3">
        <w:t xml:space="preserve">full years under the current program design.  </w:t>
      </w:r>
      <w:r w:rsidR="009B49A7">
        <w:t>T</w:t>
      </w:r>
      <w:r w:rsidR="00850358">
        <w:t>he new program beginning October 1, 2017 includes several new features to aid with program oversight described in the “procedures” section below.</w:t>
      </w:r>
    </w:p>
    <w:p w14:paraId="0D8C59B6" w14:textId="32F96013" w:rsidR="00B41967" w:rsidRPr="009B6D33" w:rsidRDefault="00B41967" w:rsidP="00C43331">
      <w:pPr>
        <w:pStyle w:val="Text"/>
      </w:pPr>
      <w:r w:rsidRPr="00742742">
        <w:rPr>
          <w:u w:val="single"/>
        </w:rPr>
        <w:t>Program Design:</w:t>
      </w:r>
      <w:r w:rsidRPr="00464F37">
        <w:t xml:space="preserve">  </w:t>
      </w:r>
      <w:r w:rsidR="00273D48" w:rsidRPr="00091CD3">
        <w:t>No changes to program design wer</w:t>
      </w:r>
      <w:r w:rsidR="00273D48" w:rsidRPr="00464F37">
        <w:t>e mad</w:t>
      </w:r>
      <w:r w:rsidR="000C1067" w:rsidRPr="00464F37">
        <w:t>e</w:t>
      </w:r>
      <w:r w:rsidR="00273D48" w:rsidRPr="00464F37">
        <w:t xml:space="preserve"> in </w:t>
      </w:r>
      <w:r w:rsidR="004E22AA">
        <w:t>2018</w:t>
      </w:r>
      <w:r w:rsidR="004E22AA" w:rsidRPr="009B6D33">
        <w:t xml:space="preserve"> </w:t>
      </w:r>
      <w:r w:rsidR="00EE01DB" w:rsidRPr="009B6D33">
        <w:t xml:space="preserve">and </w:t>
      </w:r>
      <w:r w:rsidR="004E22AA">
        <w:t>2019</w:t>
      </w:r>
      <w:r w:rsidR="00CF1666">
        <w:t>.</w:t>
      </w:r>
    </w:p>
    <w:p w14:paraId="5C5A50D7" w14:textId="0C8A180D" w:rsidR="00684C4C" w:rsidRDefault="00B41967" w:rsidP="00C43331">
      <w:pPr>
        <w:pStyle w:val="Text"/>
      </w:pPr>
      <w:r w:rsidRPr="00742742">
        <w:rPr>
          <w:u w:val="single"/>
        </w:rPr>
        <w:t>Funding:</w:t>
      </w:r>
      <w:r w:rsidR="00273D48" w:rsidRPr="00516C29">
        <w:t xml:space="preserve"> </w:t>
      </w:r>
      <w:r w:rsidRPr="00516C29">
        <w:t xml:space="preserve"> </w:t>
      </w:r>
      <w:r w:rsidR="005A78ED" w:rsidRPr="00516C29">
        <w:t xml:space="preserve">The </w:t>
      </w:r>
      <w:r w:rsidR="00E17E1F" w:rsidRPr="00516C29">
        <w:t xml:space="preserve">program </w:t>
      </w:r>
      <w:r w:rsidRPr="00516C29">
        <w:t xml:space="preserve">funding </w:t>
      </w:r>
      <w:r w:rsidR="005C4DE6" w:rsidRPr="00516C29">
        <w:t xml:space="preserve">structure </w:t>
      </w:r>
      <w:r w:rsidR="00273D48" w:rsidRPr="00516C29">
        <w:t xml:space="preserve">was </w:t>
      </w:r>
      <w:r w:rsidR="000C1067" w:rsidRPr="00516C29">
        <w:t>unchanged</w:t>
      </w:r>
      <w:r w:rsidR="00273D48" w:rsidRPr="00516C29">
        <w:t xml:space="preserve"> </w:t>
      </w:r>
      <w:r w:rsidR="00516C29" w:rsidRPr="00516C29">
        <w:t xml:space="preserve">for </w:t>
      </w:r>
      <w:r w:rsidR="004E22AA">
        <w:t>2018</w:t>
      </w:r>
      <w:r w:rsidR="004E22AA" w:rsidRPr="00516C29">
        <w:t xml:space="preserve"> </w:t>
      </w:r>
      <w:r w:rsidR="00516C29" w:rsidRPr="00516C29">
        <w:t xml:space="preserve">and </w:t>
      </w:r>
      <w:r w:rsidR="004E22AA">
        <w:t>2019</w:t>
      </w:r>
      <w:r w:rsidR="00273D48" w:rsidRPr="00516C29">
        <w:t xml:space="preserve">.  </w:t>
      </w:r>
      <w:r w:rsidR="00EE0C3A">
        <w:t>T</w:t>
      </w:r>
      <w:r w:rsidR="008C3A0D">
        <w:t>he inspection fee remained</w:t>
      </w:r>
      <w:r w:rsidR="00684C4C">
        <w:t xml:space="preserve"> $35</w:t>
      </w:r>
      <w:r w:rsidR="00FE6834">
        <w:t>,</w:t>
      </w:r>
      <w:r w:rsidR="00684C4C">
        <w:t xml:space="preserve"> with the inspection stations retaining $23.50 of the fee and the remaining $11.50 </w:t>
      </w:r>
      <w:r w:rsidR="00684C4C" w:rsidRPr="00516C29">
        <w:t>deposited into the Commonwealth’s Inspection and Maintenance Trust Account</w:t>
      </w:r>
      <w:r w:rsidR="00684C4C">
        <w:t>.</w:t>
      </w:r>
    </w:p>
    <w:p w14:paraId="0FDC2B04" w14:textId="2942A417" w:rsidR="00B41967" w:rsidRDefault="00E72CE2" w:rsidP="00C43331">
      <w:pPr>
        <w:pStyle w:val="Text"/>
      </w:pPr>
      <w:r>
        <w:t xml:space="preserve">Effective October 1, 2017, the Contractor’s per-inspection fee </w:t>
      </w:r>
      <w:r w:rsidR="00AB2636">
        <w:t>became</w:t>
      </w:r>
      <w:r>
        <w:t xml:space="preserve"> $1.343 for the first </w:t>
      </w:r>
      <w:r w:rsidRPr="00516C29">
        <w:t xml:space="preserve">4.4 million “paid” </w:t>
      </w:r>
      <w:proofErr w:type="gramStart"/>
      <w:r w:rsidRPr="00516C29">
        <w:t>inspections,</w:t>
      </w:r>
      <w:proofErr w:type="gramEnd"/>
      <w:r w:rsidRPr="00516C29">
        <w:t xml:space="preserve"> and $0</w:t>
      </w:r>
      <w:r>
        <w:t>.43</w:t>
      </w:r>
      <w:r w:rsidRPr="00516C29">
        <w:t xml:space="preserve"> for each additional “paid” inspection thereafter. </w:t>
      </w:r>
      <w:r w:rsidR="00E5372C">
        <w:t xml:space="preserve"> On October 1, 2019, the Contractor’s per-inspection fee </w:t>
      </w:r>
      <w:r w:rsidR="00816939">
        <w:t>became</w:t>
      </w:r>
      <w:r w:rsidR="00E5372C">
        <w:t xml:space="preserve"> $1.366 </w:t>
      </w:r>
      <w:r w:rsidR="00816939">
        <w:t xml:space="preserve">for the first </w:t>
      </w:r>
      <w:r w:rsidR="00816939" w:rsidRPr="00516C29">
        <w:t>4.4 million “paid” inspections,</w:t>
      </w:r>
      <w:r w:rsidR="00816939">
        <w:t xml:space="preserve"> </w:t>
      </w:r>
      <w:r w:rsidR="00E5372C">
        <w:t xml:space="preserve">while the additional fee remained unchanged. </w:t>
      </w:r>
      <w:r w:rsidR="00BD0C69">
        <w:t xml:space="preserve"> </w:t>
      </w:r>
      <w:r w:rsidR="00E17E1F" w:rsidRPr="00516C29">
        <w:t>T</w:t>
      </w:r>
      <w:r w:rsidR="00273D48" w:rsidRPr="00516C29">
        <w:t xml:space="preserve">he </w:t>
      </w:r>
      <w:r>
        <w:t xml:space="preserve">Trust Account funds </w:t>
      </w:r>
      <w:r w:rsidR="00273D48" w:rsidRPr="00516C29">
        <w:t xml:space="preserve">remaining </w:t>
      </w:r>
      <w:r>
        <w:t xml:space="preserve">after payments to the Contractor </w:t>
      </w:r>
      <w:r w:rsidR="00E17E1F" w:rsidRPr="00516C29">
        <w:t xml:space="preserve">were available to </w:t>
      </w:r>
      <w:proofErr w:type="spellStart"/>
      <w:r w:rsidR="00E17E1F" w:rsidRPr="00516C29">
        <w:t>MassDEP</w:t>
      </w:r>
      <w:proofErr w:type="spellEnd"/>
      <w:r w:rsidR="00E17E1F" w:rsidRPr="00516C29">
        <w:t xml:space="preserve"> and RMV </w:t>
      </w:r>
      <w:r w:rsidR="005C4DE6" w:rsidRPr="00516C29">
        <w:t xml:space="preserve">for program oversight and management.  </w:t>
      </w:r>
      <w:proofErr w:type="spellStart"/>
      <w:r w:rsidR="00273D48" w:rsidRPr="00516C29">
        <w:t>MassDEP</w:t>
      </w:r>
      <w:proofErr w:type="spellEnd"/>
      <w:r w:rsidR="00273D48" w:rsidRPr="00516C29">
        <w:t xml:space="preserve"> was provided with funds from the Trust Account through an Inter-Agency Service Agreement with RMV, updated annually.</w:t>
      </w:r>
    </w:p>
    <w:p w14:paraId="0C6AE2F1" w14:textId="52226559" w:rsidR="00B41967" w:rsidRPr="00516C29" w:rsidRDefault="00B41967" w:rsidP="00C43331">
      <w:pPr>
        <w:pStyle w:val="Text"/>
      </w:pPr>
      <w:r w:rsidRPr="00516C29">
        <w:t xml:space="preserve">Funding levels from the Inspection and Maintenance Trust for the program </w:t>
      </w:r>
      <w:r w:rsidR="007B30EC" w:rsidRPr="00516C29">
        <w:t xml:space="preserve">continued to be adequate to fund program costs.  In FY </w:t>
      </w:r>
      <w:r w:rsidR="00FA3C53">
        <w:t>2019</w:t>
      </w:r>
      <w:r w:rsidR="007B30EC" w:rsidRPr="00516C29">
        <w:t xml:space="preserve">, </w:t>
      </w:r>
      <w:proofErr w:type="spellStart"/>
      <w:r w:rsidR="00FA3C53">
        <w:t>Applus</w:t>
      </w:r>
      <w:proofErr w:type="spellEnd"/>
      <w:r w:rsidR="00FA3C53" w:rsidRPr="00516C29">
        <w:t xml:space="preserve"> </w:t>
      </w:r>
      <w:r w:rsidR="00F1247E" w:rsidRPr="00BF0215">
        <w:t xml:space="preserve">was </w:t>
      </w:r>
      <w:r w:rsidR="00F1247E" w:rsidRPr="00FA6074">
        <w:t>paid $</w:t>
      </w:r>
      <w:r w:rsidR="00FA3C53">
        <w:t>6.4</w:t>
      </w:r>
      <w:r w:rsidR="007B30EC" w:rsidRPr="00FA6074">
        <w:t xml:space="preserve"> million, </w:t>
      </w:r>
      <w:r w:rsidR="00F1247E" w:rsidRPr="00FA6074">
        <w:t xml:space="preserve">RMV’s expenditures </w:t>
      </w:r>
      <w:r w:rsidR="007B30EC" w:rsidRPr="00FA6074">
        <w:t>were $</w:t>
      </w:r>
      <w:r w:rsidR="00BF0215" w:rsidRPr="00FA6074">
        <w:t>4.</w:t>
      </w:r>
      <w:r w:rsidR="00FA6074" w:rsidRPr="00FA6074">
        <w:t>1</w:t>
      </w:r>
      <w:r w:rsidR="007B30EC" w:rsidRPr="00FA6074">
        <w:t xml:space="preserve"> million, and </w:t>
      </w:r>
      <w:proofErr w:type="spellStart"/>
      <w:r w:rsidR="007B30EC" w:rsidRPr="00FA6074">
        <w:t>MassDEP’s</w:t>
      </w:r>
      <w:proofErr w:type="spellEnd"/>
      <w:r w:rsidR="007B30EC" w:rsidRPr="00FA6074">
        <w:t xml:space="preserve"> expenditures were $1.</w:t>
      </w:r>
      <w:r w:rsidR="00CF2206">
        <w:t xml:space="preserve">9 </w:t>
      </w:r>
      <w:r w:rsidR="007B30EC" w:rsidRPr="00FA6074">
        <w:t xml:space="preserve">million.  </w:t>
      </w:r>
      <w:proofErr w:type="spellStart"/>
      <w:r w:rsidR="007B30EC" w:rsidRPr="00FA6074">
        <w:t>MassDEP</w:t>
      </w:r>
      <w:proofErr w:type="spellEnd"/>
      <w:r w:rsidR="007B30EC" w:rsidRPr="00516C29">
        <w:t xml:space="preserve"> expenditures </w:t>
      </w:r>
      <w:r w:rsidR="00480BD8">
        <w:t xml:space="preserve">were consistent with expenditures reported in the </w:t>
      </w:r>
      <w:r w:rsidR="00FA3C53">
        <w:t>2016-2017</w:t>
      </w:r>
      <w:r w:rsidR="00E55A54">
        <w:t xml:space="preserve"> </w:t>
      </w:r>
      <w:r w:rsidR="007B0903">
        <w:t>biennial report.</w:t>
      </w:r>
    </w:p>
    <w:p w14:paraId="7B90EAA6" w14:textId="48A68412" w:rsidR="00561238" w:rsidRPr="00742742" w:rsidRDefault="00B41967" w:rsidP="00C43331">
      <w:pPr>
        <w:pStyle w:val="Text"/>
      </w:pPr>
      <w:r w:rsidRPr="00742742">
        <w:rPr>
          <w:u w:val="single"/>
        </w:rPr>
        <w:t>Personnel Levels:</w:t>
      </w:r>
      <w:r w:rsidR="00CF1666">
        <w:t xml:space="preserve">  </w:t>
      </w:r>
      <w:r w:rsidRPr="00742742">
        <w:t>Staffing levels for the Massachusetts Inspection and Maintenance Program have been</w:t>
      </w:r>
      <w:r w:rsidR="008F026B" w:rsidRPr="00742742">
        <w:t xml:space="preserve"> generally stable</w:t>
      </w:r>
      <w:r w:rsidRPr="00742742">
        <w:t xml:space="preserve"> since the program’s inception</w:t>
      </w:r>
      <w:r w:rsidR="000C1067" w:rsidRPr="00742742">
        <w:t xml:space="preserve">.  </w:t>
      </w:r>
      <w:r w:rsidR="00561238" w:rsidRPr="00742742">
        <w:t xml:space="preserve">In </w:t>
      </w:r>
      <w:r w:rsidR="00812567">
        <w:t>FY201</w:t>
      </w:r>
      <w:r w:rsidR="00162BEE">
        <w:t>9</w:t>
      </w:r>
      <w:r w:rsidR="00561238" w:rsidRPr="00742742">
        <w:t>,</w:t>
      </w:r>
      <w:r w:rsidR="00924F97" w:rsidRPr="00742742">
        <w:t xml:space="preserve"> </w:t>
      </w:r>
      <w:r w:rsidRPr="00742742">
        <w:t xml:space="preserve">RMV </w:t>
      </w:r>
      <w:r w:rsidRPr="00FA6074">
        <w:t xml:space="preserve">assigned </w:t>
      </w:r>
      <w:r w:rsidR="00FA6074" w:rsidRPr="003559B0">
        <w:t>3</w:t>
      </w:r>
      <w:r w:rsidR="00480532">
        <w:t>5</w:t>
      </w:r>
      <w:r w:rsidRPr="00FA6074">
        <w:t xml:space="preserve"> staff</w:t>
      </w:r>
      <w:r w:rsidRPr="00742742">
        <w:t xml:space="preserve"> (full time equivalents) to the Program, and </w:t>
      </w:r>
      <w:proofErr w:type="spellStart"/>
      <w:r w:rsidRPr="00742742">
        <w:t>MassDEP</w:t>
      </w:r>
      <w:proofErr w:type="spellEnd"/>
      <w:r w:rsidRPr="00742742">
        <w:t xml:space="preserve"> had </w:t>
      </w:r>
      <w:r w:rsidR="00EE0C3A">
        <w:t>8</w:t>
      </w:r>
      <w:r w:rsidR="00EE0C3A" w:rsidRPr="00480BD8">
        <w:t xml:space="preserve"> </w:t>
      </w:r>
      <w:r w:rsidRPr="00480BD8">
        <w:t>staff</w:t>
      </w:r>
      <w:r w:rsidRPr="00742742">
        <w:t xml:space="preserve"> assigned during the fiscal year</w:t>
      </w:r>
      <w:r w:rsidR="000C1067" w:rsidRPr="00742742">
        <w:t xml:space="preserve">.  </w:t>
      </w:r>
      <w:proofErr w:type="spellStart"/>
      <w:r w:rsidR="00055B70" w:rsidRPr="00742742">
        <w:t>MassDEP</w:t>
      </w:r>
      <w:proofErr w:type="spellEnd"/>
      <w:r w:rsidR="00055B70" w:rsidRPr="00742742">
        <w:t xml:space="preserve"> staffing </w:t>
      </w:r>
      <w:r w:rsidR="00480BD8">
        <w:t xml:space="preserve">was consistent with staffing levels reported in the </w:t>
      </w:r>
      <w:r w:rsidR="00162BEE">
        <w:t>2016</w:t>
      </w:r>
      <w:r w:rsidR="00480BD8">
        <w:t>-</w:t>
      </w:r>
      <w:r w:rsidR="00162BEE">
        <w:t xml:space="preserve">2017 </w:t>
      </w:r>
      <w:r w:rsidR="00480BD8">
        <w:t>biennial report.</w:t>
      </w:r>
    </w:p>
    <w:p w14:paraId="0186DDDE" w14:textId="1BFEA6AC" w:rsidR="00BB07DB" w:rsidRDefault="00B41967" w:rsidP="00C43331">
      <w:pPr>
        <w:pStyle w:val="Text"/>
      </w:pPr>
      <w:r w:rsidRPr="00742742">
        <w:rPr>
          <w:u w:val="single"/>
        </w:rPr>
        <w:t>Procedures:</w:t>
      </w:r>
      <w:r w:rsidRPr="00742742">
        <w:t xml:space="preserve">  </w:t>
      </w:r>
      <w:r w:rsidR="00812567">
        <w:t xml:space="preserve">While </w:t>
      </w:r>
      <w:r w:rsidR="00F21539" w:rsidRPr="00742742">
        <w:t xml:space="preserve">the basic OBD and opacity inspection procedures were </w:t>
      </w:r>
      <w:r w:rsidR="00525D98">
        <w:t xml:space="preserve">largely </w:t>
      </w:r>
      <w:r w:rsidR="00F21539" w:rsidRPr="00742742">
        <w:t>unchanged</w:t>
      </w:r>
      <w:r w:rsidR="00812567">
        <w:t xml:space="preserve"> during </w:t>
      </w:r>
      <w:r w:rsidR="004E22AA">
        <w:t xml:space="preserve">2018 </w:t>
      </w:r>
      <w:r w:rsidR="00812567">
        <w:t xml:space="preserve">and </w:t>
      </w:r>
      <w:r w:rsidR="004E22AA">
        <w:t>2019</w:t>
      </w:r>
      <w:r w:rsidR="00812567">
        <w:t xml:space="preserve">, there were some program-related changes associated with inspections conducted under the new contract </w:t>
      </w:r>
      <w:r w:rsidR="006A0669">
        <w:t>that sta</w:t>
      </w:r>
      <w:r w:rsidR="00AB1E60">
        <w:t>r</w:t>
      </w:r>
      <w:r w:rsidR="006A0669">
        <w:t>ted October</w:t>
      </w:r>
      <w:r w:rsidR="00CA6917">
        <w:t xml:space="preserve"> </w:t>
      </w:r>
      <w:r w:rsidR="006A0669">
        <w:t>1, 2017.</w:t>
      </w:r>
    </w:p>
    <w:p w14:paraId="2DFA2EFE" w14:textId="12D87912" w:rsidR="00E35C7B" w:rsidRDefault="00BB07DB" w:rsidP="00C43331">
      <w:pPr>
        <w:pStyle w:val="Text"/>
      </w:pPr>
      <w:r w:rsidRPr="00BB07DB">
        <w:rPr>
          <w:i/>
        </w:rPr>
        <w:t>Cameras</w:t>
      </w:r>
      <w:r>
        <w:t xml:space="preserve">:  </w:t>
      </w:r>
      <w:r w:rsidR="006A0669">
        <w:t xml:space="preserve">The use of cameras for </w:t>
      </w:r>
      <w:r w:rsidR="007C5010">
        <w:t>monitoring</w:t>
      </w:r>
      <w:r w:rsidR="006A0669">
        <w:t xml:space="preserve"> inspection quality is now required.  </w:t>
      </w:r>
      <w:r w:rsidR="003313E6">
        <w:t xml:space="preserve">Starting on </w:t>
      </w:r>
      <w:r w:rsidR="00992206">
        <w:t xml:space="preserve">October </w:t>
      </w:r>
      <w:r w:rsidR="003313E6">
        <w:t>1</w:t>
      </w:r>
      <w:r w:rsidR="00992206">
        <w:t xml:space="preserve">, </w:t>
      </w:r>
      <w:r w:rsidR="003313E6">
        <w:t xml:space="preserve">2017 at </w:t>
      </w:r>
      <w:r w:rsidR="006A0669">
        <w:t xml:space="preserve">the start of each inspection, a </w:t>
      </w:r>
      <w:r w:rsidR="00A411A6">
        <w:t xml:space="preserve">digital image of the inspector </w:t>
      </w:r>
      <w:r w:rsidR="006A0669">
        <w:t xml:space="preserve">is </w:t>
      </w:r>
      <w:r w:rsidR="00AB1E60">
        <w:t>captured</w:t>
      </w:r>
      <w:r w:rsidR="006A0669">
        <w:t xml:space="preserve"> to verify inspector identity.  Also, the following four images of the vehicle are required</w:t>
      </w:r>
      <w:r w:rsidR="00A411A6">
        <w:t xml:space="preserve">: 1) front of the vehicle, 2) rear of the vehicle, 3) vehicle </w:t>
      </w:r>
      <w:r w:rsidR="00393399">
        <w:t>identification number (</w:t>
      </w:r>
      <w:r w:rsidR="00A411A6">
        <w:t>VIN</w:t>
      </w:r>
      <w:r w:rsidR="00393399">
        <w:t>)</w:t>
      </w:r>
      <w:r w:rsidR="00A411A6">
        <w:t xml:space="preserve"> tag, and 4) odometer reading.  These images help verify the vehicle being inspected and its mileage.</w:t>
      </w:r>
    </w:p>
    <w:p w14:paraId="29B640F6" w14:textId="72A1DEE0" w:rsidR="009132C5" w:rsidRDefault="003313E6" w:rsidP="00F76673">
      <w:pPr>
        <w:pStyle w:val="Text"/>
        <w:tabs>
          <w:tab w:val="left" w:pos="5040"/>
        </w:tabs>
      </w:pPr>
      <w:r>
        <w:t xml:space="preserve">Starting in February 2018 the three </w:t>
      </w:r>
      <w:r w:rsidR="00850358">
        <w:t xml:space="preserve">cameras installed in each inspection bay </w:t>
      </w:r>
      <w:r w:rsidR="00E35C7B">
        <w:t xml:space="preserve">are required </w:t>
      </w:r>
      <w:r w:rsidR="00850358">
        <w:t xml:space="preserve">to capture </w:t>
      </w:r>
      <w:r w:rsidR="00E35C7B">
        <w:t xml:space="preserve">still </w:t>
      </w:r>
      <w:r w:rsidR="00850358">
        <w:t xml:space="preserve">images </w:t>
      </w:r>
      <w:r w:rsidR="00E35C7B">
        <w:t xml:space="preserve">at various times during the inspection and to record </w:t>
      </w:r>
      <w:r w:rsidR="00BF4CB7">
        <w:t xml:space="preserve">a </w:t>
      </w:r>
      <w:r w:rsidR="00850358">
        <w:t xml:space="preserve">video </w:t>
      </w:r>
      <w:r w:rsidR="00E35C7B">
        <w:t xml:space="preserve">of the entire </w:t>
      </w:r>
      <w:r w:rsidR="00850358">
        <w:lastRenderedPageBreak/>
        <w:t>inspection.</w:t>
      </w:r>
      <w:r w:rsidR="00982795">
        <w:t xml:space="preserve">  </w:t>
      </w:r>
      <w:r w:rsidR="00F536BB">
        <w:t xml:space="preserve">All images and video </w:t>
      </w:r>
      <w:r w:rsidR="009B49A7">
        <w:t xml:space="preserve">are automatically uploaded to the Vehicle Inspection Database </w:t>
      </w:r>
      <w:r w:rsidR="00CF1126">
        <w:t xml:space="preserve">and </w:t>
      </w:r>
      <w:r w:rsidR="009B49A7">
        <w:t>become part of the inspection record.</w:t>
      </w:r>
    </w:p>
    <w:p w14:paraId="4FE6EC6A" w14:textId="073960CF" w:rsidR="00276C31" w:rsidRDefault="009132C5" w:rsidP="00F76673">
      <w:pPr>
        <w:pStyle w:val="Text"/>
        <w:tabs>
          <w:tab w:val="left" w:pos="5040"/>
        </w:tabs>
      </w:pPr>
      <w:r w:rsidRPr="009132C5">
        <w:rPr>
          <w:i/>
        </w:rPr>
        <w:t>Test In</w:t>
      </w:r>
      <w:r>
        <w:rPr>
          <w:i/>
        </w:rPr>
        <w:t xml:space="preserve">terruptions:  </w:t>
      </w:r>
      <w:r w:rsidR="0028085E">
        <w:t>Starting i</w:t>
      </w:r>
      <w:r>
        <w:t xml:space="preserve">n </w:t>
      </w:r>
      <w:r w:rsidR="0028085E">
        <w:t>March 2018</w:t>
      </w:r>
      <w:r>
        <w:t xml:space="preserve"> the program implemented a test interruption procedure in the software that automatically stops an inspection </w:t>
      </w:r>
      <w:r w:rsidR="00276C31">
        <w:t>when certain anomalies are found, including</w:t>
      </w:r>
      <w:r w:rsidR="005D5C77">
        <w:t>:</w:t>
      </w:r>
    </w:p>
    <w:p w14:paraId="6908908C" w14:textId="3F439C46" w:rsidR="00276C31" w:rsidRDefault="00276C31" w:rsidP="00276C31">
      <w:pPr>
        <w:pStyle w:val="Text"/>
        <w:numPr>
          <w:ilvl w:val="0"/>
          <w:numId w:val="16"/>
        </w:numPr>
        <w:jc w:val="left"/>
      </w:pPr>
      <w:proofErr w:type="gramStart"/>
      <w:r>
        <w:t>the</w:t>
      </w:r>
      <w:proofErr w:type="gramEnd"/>
      <w:r>
        <w:t xml:space="preserve"> vehicle is a kit car and may require a special inspection at </w:t>
      </w:r>
      <w:r w:rsidR="00004C22">
        <w:t>a</w:t>
      </w:r>
      <w:r>
        <w:t xml:space="preserve"> MAC to check for EPA kit car compliance</w:t>
      </w:r>
      <w:r w:rsidR="00DA2CA4">
        <w:t>.</w:t>
      </w:r>
    </w:p>
    <w:p w14:paraId="089E363C" w14:textId="77777777" w:rsidR="00276C31" w:rsidRDefault="00276C31" w:rsidP="00276C31">
      <w:pPr>
        <w:pStyle w:val="Text"/>
        <w:numPr>
          <w:ilvl w:val="0"/>
          <w:numId w:val="16"/>
        </w:numPr>
        <w:jc w:val="left"/>
      </w:pPr>
      <w:proofErr w:type="gramStart"/>
      <w:r>
        <w:t>the</w:t>
      </w:r>
      <w:proofErr w:type="gramEnd"/>
      <w:r>
        <w:t xml:space="preserve"> inspector does not sign on the signature pad following a commercial safety inspection.</w:t>
      </w:r>
    </w:p>
    <w:p w14:paraId="38935A70" w14:textId="090C1844" w:rsidR="00276C31" w:rsidRDefault="00276C31" w:rsidP="00276C31">
      <w:pPr>
        <w:pStyle w:val="Text"/>
        <w:numPr>
          <w:ilvl w:val="0"/>
          <w:numId w:val="16"/>
        </w:numPr>
        <w:jc w:val="left"/>
      </w:pPr>
      <w:proofErr w:type="gramStart"/>
      <w:r>
        <w:t>the</w:t>
      </w:r>
      <w:proofErr w:type="gramEnd"/>
      <w:r>
        <w:t xml:space="preserve"> inspector changes VIN-decoded vehicle information, such as GVWR, that changes the type of safety test received (</w:t>
      </w:r>
      <w:r w:rsidR="00B425B5">
        <w:t xml:space="preserve">i.e., </w:t>
      </w:r>
      <w:r>
        <w:t xml:space="preserve">commercial </w:t>
      </w:r>
      <w:r w:rsidR="00B425B5">
        <w:t>vs.</w:t>
      </w:r>
      <w:r>
        <w:t xml:space="preserve"> non-commercial)</w:t>
      </w:r>
      <w:r w:rsidR="00F55510">
        <w:t>.</w:t>
      </w:r>
    </w:p>
    <w:p w14:paraId="08014ED6" w14:textId="72AC68B6" w:rsidR="00276C31" w:rsidRDefault="00276C31" w:rsidP="00276C31">
      <w:pPr>
        <w:pStyle w:val="Text"/>
        <w:numPr>
          <w:ilvl w:val="0"/>
          <w:numId w:val="16"/>
        </w:numPr>
        <w:jc w:val="left"/>
      </w:pPr>
      <w:r>
        <w:t>the inspector changes VIN-decoded vehicle information, such as fuel type or GVWR, that changes the type of emissions test received (</w:t>
      </w:r>
      <w:r w:rsidR="001B33E8">
        <w:t>i.e</w:t>
      </w:r>
      <w:r w:rsidR="00627BF8">
        <w:t xml:space="preserve">., </w:t>
      </w:r>
      <w:r>
        <w:t xml:space="preserve">OBD </w:t>
      </w:r>
      <w:r w:rsidR="00965465">
        <w:t>vs.</w:t>
      </w:r>
      <w:r>
        <w:t xml:space="preserve"> opacity) or makes the vehicle exempt from emissions testing.</w:t>
      </w:r>
    </w:p>
    <w:p w14:paraId="353A1A8B" w14:textId="7C9DD8A0" w:rsidR="00F76673" w:rsidRPr="009132C5" w:rsidRDefault="003313E6" w:rsidP="00F76673">
      <w:pPr>
        <w:pStyle w:val="Text"/>
        <w:tabs>
          <w:tab w:val="left" w:pos="5040"/>
        </w:tabs>
        <w:rPr>
          <w:i/>
        </w:rPr>
      </w:pPr>
      <w:r>
        <w:t xml:space="preserve">During normal business hours when the interrupt </w:t>
      </w:r>
      <w:proofErr w:type="gramStart"/>
      <w:r>
        <w:t>occurs</w:t>
      </w:r>
      <w:proofErr w:type="gramEnd"/>
      <w:r w:rsidR="006227B3">
        <w:t xml:space="preserve"> the inspector must communicate with a program representative to determine if the </w:t>
      </w:r>
      <w:r w:rsidR="00276C31">
        <w:t xml:space="preserve">action or </w:t>
      </w:r>
      <w:r w:rsidR="006227B3">
        <w:t xml:space="preserve">change is valid in order to proceed.  If </w:t>
      </w:r>
      <w:r w:rsidR="00276C31">
        <w:t>it</w:t>
      </w:r>
      <w:r w:rsidR="006227B3">
        <w:t xml:space="preserve"> </w:t>
      </w:r>
      <w:r w:rsidR="00162BEE">
        <w:t>is</w:t>
      </w:r>
      <w:r w:rsidR="006227B3">
        <w:t xml:space="preserve"> not valid, the inspection is aborted and the inspector must begin the inspection again. </w:t>
      </w:r>
      <w:r w:rsidR="00BD0C69">
        <w:t xml:space="preserve"> </w:t>
      </w:r>
      <w:r>
        <w:t>After hours the inspection is allowed to complete but is flagged for investigation by Agency personnel.</w:t>
      </w:r>
    </w:p>
    <w:p w14:paraId="1119262F" w14:textId="152DB340" w:rsidR="0016780D" w:rsidRDefault="00BB07DB" w:rsidP="00C43331">
      <w:pPr>
        <w:pStyle w:val="Text"/>
      </w:pPr>
      <w:r w:rsidRPr="00BB07DB">
        <w:rPr>
          <w:i/>
        </w:rPr>
        <w:t>Diesel OBD Readiness Exemptions</w:t>
      </w:r>
      <w:r>
        <w:t xml:space="preserve">:  </w:t>
      </w:r>
      <w:r w:rsidR="00156DC5">
        <w:t xml:space="preserve">In 2015 </w:t>
      </w:r>
      <w:r w:rsidR="00A112D6">
        <w:t>inspection</w:t>
      </w:r>
      <w:r w:rsidR="00525D98">
        <w:t xml:space="preserve"> procedures </w:t>
      </w:r>
      <w:r w:rsidR="00156DC5">
        <w:t xml:space="preserve">were changed </w:t>
      </w:r>
      <w:r w:rsidR="00525D98">
        <w:t xml:space="preserve">in response to readiness </w:t>
      </w:r>
      <w:r w:rsidR="00F24F5D">
        <w:t>issues</w:t>
      </w:r>
      <w:r w:rsidR="00525D98">
        <w:t xml:space="preserve"> related to diesel-powered vehicles with advanced emissions controls.  These changes are related to the issues that lead to the development of EPA’s “</w:t>
      </w:r>
      <w:r w:rsidR="00525D98" w:rsidRPr="00525D98">
        <w:t xml:space="preserve">Best Practices for Addressing OBD Readiness in IM Testing of Diesel Vehicles </w:t>
      </w:r>
      <w:proofErr w:type="gramStart"/>
      <w:r w:rsidR="00525D98" w:rsidRPr="00525D98">
        <w:t>Under</w:t>
      </w:r>
      <w:proofErr w:type="gramEnd"/>
      <w:r w:rsidR="00525D98" w:rsidRPr="00525D98">
        <w:t xml:space="preserve"> 14,000 lbs. Gross Vehicle Weight Rating</w:t>
      </w:r>
      <w:r w:rsidR="00525D98">
        <w:t xml:space="preserve">.”  </w:t>
      </w:r>
      <w:r w:rsidR="00F24F5D">
        <w:t xml:space="preserve">Because the IM Program does not have software that would allow the implementation of the recommended best practices, </w:t>
      </w:r>
      <w:proofErr w:type="spellStart"/>
      <w:r w:rsidR="00F24F5D">
        <w:t>MassDEP</w:t>
      </w:r>
      <w:proofErr w:type="spellEnd"/>
      <w:r w:rsidR="00F24F5D">
        <w:t xml:space="preserve"> </w:t>
      </w:r>
      <w:r w:rsidR="00156DC5">
        <w:t>continue</w:t>
      </w:r>
      <w:r w:rsidR="00402EF5">
        <w:t>s</w:t>
      </w:r>
      <w:r w:rsidR="00156DC5">
        <w:t xml:space="preserve"> to </w:t>
      </w:r>
      <w:r w:rsidR="00F24F5D">
        <w:t xml:space="preserve">exclude the following difficult-to-set readiness monitors from </w:t>
      </w:r>
      <w:r w:rsidR="00114FBE">
        <w:t>readiness</w:t>
      </w:r>
      <w:r w:rsidR="00F24F5D">
        <w:t xml:space="preserve"> determinations for these vehicles:</w:t>
      </w:r>
    </w:p>
    <w:p w14:paraId="0CDA8AD4" w14:textId="77777777" w:rsidR="00CF1126" w:rsidRDefault="00CF1126" w:rsidP="00C43331">
      <w:pPr>
        <w:pStyle w:val="Text"/>
      </w:pPr>
    </w:p>
    <w:tbl>
      <w:tblPr>
        <w:tblStyle w:val="TableGrid"/>
        <w:tblW w:w="0" w:type="auto"/>
        <w:tblInd w:w="360" w:type="dxa"/>
        <w:tblLook w:val="04A0" w:firstRow="1" w:lastRow="0" w:firstColumn="1" w:lastColumn="0" w:noHBand="0" w:noVBand="1"/>
      </w:tblPr>
      <w:tblGrid>
        <w:gridCol w:w="1406"/>
        <w:gridCol w:w="2572"/>
        <w:gridCol w:w="2250"/>
        <w:gridCol w:w="2250"/>
      </w:tblGrid>
      <w:tr w:rsidR="00B7459C" w:rsidRPr="00F24F5D" w14:paraId="16907CA4" w14:textId="77777777" w:rsidTr="00B7459C">
        <w:trPr>
          <w:trHeight w:val="525"/>
        </w:trPr>
        <w:tc>
          <w:tcPr>
            <w:tcW w:w="1406" w:type="dxa"/>
            <w:tcBorders>
              <w:top w:val="double" w:sz="4" w:space="0" w:color="auto"/>
              <w:left w:val="double" w:sz="4" w:space="0" w:color="auto"/>
              <w:bottom w:val="single" w:sz="12" w:space="0" w:color="auto"/>
            </w:tcBorders>
            <w:vAlign w:val="bottom"/>
            <w:hideMark/>
          </w:tcPr>
          <w:p w14:paraId="370CB1DF" w14:textId="77777777" w:rsidR="00F24F5D" w:rsidRPr="00F24F5D" w:rsidRDefault="00F24F5D" w:rsidP="00F93363">
            <w:pPr>
              <w:pStyle w:val="Table"/>
              <w:keepNext/>
              <w:jc w:val="center"/>
            </w:pPr>
            <w:r w:rsidRPr="00F24F5D">
              <w:lastRenderedPageBreak/>
              <w:t>Model Years</w:t>
            </w:r>
          </w:p>
        </w:tc>
        <w:tc>
          <w:tcPr>
            <w:tcW w:w="2572" w:type="dxa"/>
            <w:tcBorders>
              <w:top w:val="double" w:sz="4" w:space="0" w:color="auto"/>
              <w:bottom w:val="single" w:sz="12" w:space="0" w:color="auto"/>
            </w:tcBorders>
            <w:noWrap/>
            <w:vAlign w:val="bottom"/>
            <w:hideMark/>
          </w:tcPr>
          <w:p w14:paraId="7D107D18" w14:textId="77777777" w:rsidR="00F24F5D" w:rsidRPr="00F24F5D" w:rsidRDefault="00F24F5D" w:rsidP="00F93363">
            <w:pPr>
              <w:pStyle w:val="Table"/>
              <w:keepNext/>
            </w:pPr>
            <w:r w:rsidRPr="00F24F5D">
              <w:t>Make/Model</w:t>
            </w:r>
          </w:p>
        </w:tc>
        <w:tc>
          <w:tcPr>
            <w:tcW w:w="2250" w:type="dxa"/>
            <w:tcBorders>
              <w:top w:val="double" w:sz="4" w:space="0" w:color="auto"/>
              <w:bottom w:val="single" w:sz="12" w:space="0" w:color="auto"/>
            </w:tcBorders>
            <w:vAlign w:val="bottom"/>
            <w:hideMark/>
          </w:tcPr>
          <w:p w14:paraId="7C9BEDB0" w14:textId="77777777" w:rsidR="00F24F5D" w:rsidRPr="00F24F5D" w:rsidRDefault="00114FBE" w:rsidP="00F93363">
            <w:pPr>
              <w:pStyle w:val="Table"/>
              <w:keepNext/>
              <w:jc w:val="center"/>
            </w:pPr>
            <w:r>
              <w:t>U</w:t>
            </w:r>
            <w:r w:rsidR="00F24F5D" w:rsidRPr="00F24F5D">
              <w:t xml:space="preserve">ntil </w:t>
            </w:r>
            <w:r>
              <w:br/>
            </w:r>
            <w:r w:rsidR="00F24F5D" w:rsidRPr="00F24F5D">
              <w:t>mid-April 2015</w:t>
            </w:r>
          </w:p>
        </w:tc>
        <w:tc>
          <w:tcPr>
            <w:tcW w:w="2250" w:type="dxa"/>
            <w:tcBorders>
              <w:top w:val="double" w:sz="4" w:space="0" w:color="auto"/>
              <w:bottom w:val="single" w:sz="12" w:space="0" w:color="auto"/>
              <w:right w:val="double" w:sz="4" w:space="0" w:color="auto"/>
            </w:tcBorders>
            <w:vAlign w:val="bottom"/>
            <w:hideMark/>
          </w:tcPr>
          <w:p w14:paraId="04FA6F67" w14:textId="77777777" w:rsidR="00F24F5D" w:rsidRPr="00F24F5D" w:rsidRDefault="00114FBE" w:rsidP="00F93363">
            <w:pPr>
              <w:pStyle w:val="Table"/>
              <w:keepNext/>
              <w:jc w:val="center"/>
            </w:pPr>
            <w:r>
              <w:t xml:space="preserve">After </w:t>
            </w:r>
            <w:r>
              <w:br/>
            </w:r>
            <w:r w:rsidR="00F24F5D" w:rsidRPr="00F24F5D">
              <w:t>Mid-April 2015</w:t>
            </w:r>
          </w:p>
        </w:tc>
      </w:tr>
      <w:tr w:rsidR="00F24F5D" w:rsidRPr="00F24F5D" w14:paraId="1246CB97" w14:textId="77777777" w:rsidTr="00B7459C">
        <w:trPr>
          <w:trHeight w:val="255"/>
        </w:trPr>
        <w:tc>
          <w:tcPr>
            <w:tcW w:w="1406" w:type="dxa"/>
            <w:tcBorders>
              <w:top w:val="single" w:sz="12" w:space="0" w:color="auto"/>
              <w:left w:val="double" w:sz="4" w:space="0" w:color="auto"/>
            </w:tcBorders>
            <w:noWrap/>
            <w:vAlign w:val="bottom"/>
            <w:hideMark/>
          </w:tcPr>
          <w:p w14:paraId="400A5839" w14:textId="77777777" w:rsidR="00F24F5D" w:rsidRPr="00F24F5D" w:rsidRDefault="002975D1" w:rsidP="00F93363">
            <w:pPr>
              <w:pStyle w:val="Table"/>
              <w:keepNext/>
              <w:jc w:val="center"/>
            </w:pPr>
            <w:r>
              <w:t>2010</w:t>
            </w:r>
            <w:r w:rsidR="00F24F5D" w:rsidRPr="00F24F5D">
              <w:t>-2014</w:t>
            </w:r>
          </w:p>
        </w:tc>
        <w:tc>
          <w:tcPr>
            <w:tcW w:w="2572" w:type="dxa"/>
            <w:tcBorders>
              <w:top w:val="single" w:sz="12" w:space="0" w:color="auto"/>
            </w:tcBorders>
            <w:noWrap/>
            <w:vAlign w:val="bottom"/>
            <w:hideMark/>
          </w:tcPr>
          <w:p w14:paraId="67E768D5" w14:textId="77777777" w:rsidR="00F24F5D" w:rsidRPr="00F24F5D" w:rsidRDefault="00F24F5D" w:rsidP="00F93363">
            <w:pPr>
              <w:pStyle w:val="Table"/>
              <w:keepNext/>
            </w:pPr>
            <w:r w:rsidRPr="00F24F5D">
              <w:t>All Audi/VW Diesels</w:t>
            </w:r>
          </w:p>
        </w:tc>
        <w:tc>
          <w:tcPr>
            <w:tcW w:w="2250" w:type="dxa"/>
            <w:tcBorders>
              <w:top w:val="single" w:sz="12" w:space="0" w:color="auto"/>
            </w:tcBorders>
            <w:noWrap/>
            <w:vAlign w:val="bottom"/>
            <w:hideMark/>
          </w:tcPr>
          <w:p w14:paraId="33ADA353" w14:textId="77777777" w:rsidR="00F24F5D" w:rsidRPr="00F24F5D" w:rsidRDefault="00810944" w:rsidP="00F93363">
            <w:pPr>
              <w:pStyle w:val="Table"/>
              <w:keepNext/>
            </w:pPr>
            <w:r w:rsidRPr="00F24F5D">
              <w:t>NOx</w:t>
            </w:r>
            <w:r w:rsidR="00F24F5D" w:rsidRPr="00F24F5D">
              <w:t xml:space="preserve"> After-</w:t>
            </w:r>
            <w:r w:rsidRPr="00F24F5D">
              <w:t>treatment</w:t>
            </w:r>
          </w:p>
        </w:tc>
        <w:tc>
          <w:tcPr>
            <w:tcW w:w="2250" w:type="dxa"/>
            <w:tcBorders>
              <w:top w:val="single" w:sz="12" w:space="0" w:color="auto"/>
              <w:right w:val="double" w:sz="4" w:space="0" w:color="auto"/>
            </w:tcBorders>
            <w:noWrap/>
            <w:vAlign w:val="bottom"/>
            <w:hideMark/>
          </w:tcPr>
          <w:p w14:paraId="275F68DE" w14:textId="77777777" w:rsidR="00F24F5D" w:rsidRPr="00F24F5D" w:rsidRDefault="00F24F5D" w:rsidP="00F93363">
            <w:pPr>
              <w:pStyle w:val="Table"/>
              <w:keepNext/>
            </w:pPr>
            <w:r w:rsidRPr="00F24F5D">
              <w:t>None</w:t>
            </w:r>
          </w:p>
        </w:tc>
      </w:tr>
      <w:tr w:rsidR="00F24F5D" w:rsidRPr="00F24F5D" w14:paraId="38D14F51" w14:textId="77777777" w:rsidTr="00B7459C">
        <w:trPr>
          <w:trHeight w:val="255"/>
        </w:trPr>
        <w:tc>
          <w:tcPr>
            <w:tcW w:w="1406" w:type="dxa"/>
            <w:tcBorders>
              <w:left w:val="double" w:sz="4" w:space="0" w:color="auto"/>
            </w:tcBorders>
            <w:noWrap/>
            <w:vAlign w:val="bottom"/>
            <w:hideMark/>
          </w:tcPr>
          <w:p w14:paraId="40FD2983" w14:textId="77777777" w:rsidR="00F24F5D" w:rsidRPr="00F24F5D" w:rsidRDefault="002975D1" w:rsidP="00F93363">
            <w:pPr>
              <w:pStyle w:val="Table"/>
              <w:keepNext/>
              <w:jc w:val="center"/>
            </w:pPr>
            <w:r>
              <w:t>2010</w:t>
            </w:r>
            <w:r w:rsidR="00F24F5D" w:rsidRPr="00F24F5D">
              <w:t>-2012</w:t>
            </w:r>
          </w:p>
        </w:tc>
        <w:tc>
          <w:tcPr>
            <w:tcW w:w="2572" w:type="dxa"/>
            <w:noWrap/>
            <w:vAlign w:val="bottom"/>
            <w:hideMark/>
          </w:tcPr>
          <w:p w14:paraId="4B2E4F45" w14:textId="77777777" w:rsidR="00F24F5D" w:rsidRPr="00F24F5D" w:rsidRDefault="00F24F5D" w:rsidP="00F93363">
            <w:pPr>
              <w:pStyle w:val="Table"/>
              <w:keepNext/>
            </w:pPr>
            <w:r w:rsidRPr="00F24F5D">
              <w:t>Sprinter 2500/3500</w:t>
            </w:r>
          </w:p>
        </w:tc>
        <w:tc>
          <w:tcPr>
            <w:tcW w:w="2250" w:type="dxa"/>
            <w:noWrap/>
            <w:vAlign w:val="bottom"/>
            <w:hideMark/>
          </w:tcPr>
          <w:p w14:paraId="4AA3EB40" w14:textId="77777777" w:rsidR="00F24F5D" w:rsidRPr="00F24F5D" w:rsidRDefault="00F24F5D" w:rsidP="00F93363">
            <w:pPr>
              <w:pStyle w:val="Table"/>
              <w:keepNext/>
            </w:pPr>
            <w:r w:rsidRPr="00F24F5D">
              <w:t>None</w:t>
            </w:r>
          </w:p>
        </w:tc>
        <w:tc>
          <w:tcPr>
            <w:tcW w:w="2250" w:type="dxa"/>
            <w:tcBorders>
              <w:right w:val="double" w:sz="4" w:space="0" w:color="auto"/>
            </w:tcBorders>
            <w:noWrap/>
            <w:vAlign w:val="bottom"/>
            <w:hideMark/>
          </w:tcPr>
          <w:p w14:paraId="0D84C048" w14:textId="77777777" w:rsidR="00F24F5D" w:rsidRPr="00F24F5D" w:rsidRDefault="00F24F5D" w:rsidP="00F93363">
            <w:pPr>
              <w:pStyle w:val="Table"/>
              <w:keepNext/>
            </w:pPr>
            <w:r w:rsidRPr="00F24F5D">
              <w:t>NMHC Cat</w:t>
            </w:r>
          </w:p>
        </w:tc>
      </w:tr>
      <w:tr w:rsidR="00F24F5D" w:rsidRPr="00F24F5D" w14:paraId="64B6A9E6" w14:textId="77777777" w:rsidTr="00B7459C">
        <w:trPr>
          <w:trHeight w:val="255"/>
        </w:trPr>
        <w:tc>
          <w:tcPr>
            <w:tcW w:w="1406" w:type="dxa"/>
            <w:tcBorders>
              <w:left w:val="double" w:sz="4" w:space="0" w:color="auto"/>
            </w:tcBorders>
            <w:noWrap/>
            <w:vAlign w:val="bottom"/>
            <w:hideMark/>
          </w:tcPr>
          <w:p w14:paraId="50DCA300" w14:textId="154255B3" w:rsidR="00F24F5D" w:rsidRPr="00F24F5D" w:rsidRDefault="002975D1" w:rsidP="006227B3">
            <w:pPr>
              <w:pStyle w:val="Table"/>
              <w:keepNext/>
              <w:jc w:val="center"/>
            </w:pPr>
            <w:r>
              <w:t>2013</w:t>
            </w:r>
            <w:r w:rsidR="00F24F5D" w:rsidRPr="00F24F5D">
              <w:t>-</w:t>
            </w:r>
            <w:r w:rsidR="006227B3" w:rsidRPr="00F24F5D">
              <w:t>201</w:t>
            </w:r>
            <w:r w:rsidR="006227B3">
              <w:t>9</w:t>
            </w:r>
          </w:p>
        </w:tc>
        <w:tc>
          <w:tcPr>
            <w:tcW w:w="2572" w:type="dxa"/>
            <w:noWrap/>
            <w:vAlign w:val="bottom"/>
            <w:hideMark/>
          </w:tcPr>
          <w:p w14:paraId="3B662944" w14:textId="77777777" w:rsidR="00F24F5D" w:rsidRPr="00F24F5D" w:rsidRDefault="00F24F5D" w:rsidP="00F93363">
            <w:pPr>
              <w:pStyle w:val="Table"/>
              <w:keepNext/>
            </w:pPr>
            <w:r w:rsidRPr="00F24F5D">
              <w:t>Sprinter 2500/3500</w:t>
            </w:r>
          </w:p>
        </w:tc>
        <w:tc>
          <w:tcPr>
            <w:tcW w:w="2250" w:type="dxa"/>
            <w:noWrap/>
            <w:vAlign w:val="bottom"/>
            <w:hideMark/>
          </w:tcPr>
          <w:p w14:paraId="5949EF9E" w14:textId="77777777" w:rsidR="00F24F5D" w:rsidRPr="00F24F5D" w:rsidRDefault="00F24F5D" w:rsidP="00F93363">
            <w:pPr>
              <w:pStyle w:val="Table"/>
              <w:keepNext/>
            </w:pPr>
            <w:r w:rsidRPr="00F24F5D">
              <w:t>None</w:t>
            </w:r>
          </w:p>
        </w:tc>
        <w:tc>
          <w:tcPr>
            <w:tcW w:w="2250" w:type="dxa"/>
            <w:tcBorders>
              <w:right w:val="double" w:sz="4" w:space="0" w:color="auto"/>
            </w:tcBorders>
            <w:noWrap/>
            <w:vAlign w:val="bottom"/>
            <w:hideMark/>
          </w:tcPr>
          <w:p w14:paraId="047A590B" w14:textId="77777777" w:rsidR="00F24F5D" w:rsidRPr="00F24F5D" w:rsidRDefault="00F24F5D" w:rsidP="00F93363">
            <w:pPr>
              <w:pStyle w:val="Table"/>
              <w:keepNext/>
            </w:pPr>
            <w:proofErr w:type="spellStart"/>
            <w:r w:rsidRPr="00F24F5D">
              <w:t>Exh</w:t>
            </w:r>
            <w:proofErr w:type="spellEnd"/>
            <w:r w:rsidRPr="00F24F5D">
              <w:t>. Gas Sensor</w:t>
            </w:r>
          </w:p>
        </w:tc>
      </w:tr>
      <w:tr w:rsidR="00F24F5D" w:rsidRPr="00F24F5D" w14:paraId="517C65BB" w14:textId="77777777" w:rsidTr="00B7459C">
        <w:trPr>
          <w:trHeight w:val="255"/>
        </w:trPr>
        <w:tc>
          <w:tcPr>
            <w:tcW w:w="1406" w:type="dxa"/>
            <w:tcBorders>
              <w:left w:val="double" w:sz="4" w:space="0" w:color="auto"/>
            </w:tcBorders>
            <w:noWrap/>
            <w:vAlign w:val="bottom"/>
            <w:hideMark/>
          </w:tcPr>
          <w:p w14:paraId="4EA0D184" w14:textId="77777777" w:rsidR="00F24F5D" w:rsidRPr="00F24F5D" w:rsidRDefault="002975D1" w:rsidP="00F93363">
            <w:pPr>
              <w:pStyle w:val="Table"/>
              <w:keepNext/>
              <w:jc w:val="center"/>
            </w:pPr>
            <w:r>
              <w:t>2010</w:t>
            </w:r>
            <w:r w:rsidR="00F24F5D" w:rsidRPr="00F24F5D">
              <w:t>-2012</w:t>
            </w:r>
          </w:p>
        </w:tc>
        <w:tc>
          <w:tcPr>
            <w:tcW w:w="2572" w:type="dxa"/>
            <w:noWrap/>
            <w:vAlign w:val="bottom"/>
            <w:hideMark/>
          </w:tcPr>
          <w:p w14:paraId="0A92A38D" w14:textId="77777777" w:rsidR="00F24F5D" w:rsidRPr="00F24F5D" w:rsidRDefault="00F24F5D" w:rsidP="00F93363">
            <w:pPr>
              <w:pStyle w:val="Table"/>
              <w:keepNext/>
            </w:pPr>
            <w:r w:rsidRPr="00F24F5D">
              <w:t>Dodge/Ram Cummins</w:t>
            </w:r>
          </w:p>
        </w:tc>
        <w:tc>
          <w:tcPr>
            <w:tcW w:w="2250" w:type="dxa"/>
            <w:noWrap/>
            <w:vAlign w:val="bottom"/>
            <w:hideMark/>
          </w:tcPr>
          <w:p w14:paraId="36990F98" w14:textId="77777777" w:rsidR="00F24F5D" w:rsidRPr="00F24F5D" w:rsidRDefault="00B47F2B" w:rsidP="00F93363">
            <w:pPr>
              <w:pStyle w:val="Table"/>
              <w:keepNext/>
            </w:pPr>
            <w:r w:rsidRPr="00F24F5D">
              <w:t>N</w:t>
            </w:r>
            <w:r>
              <w:t>O</w:t>
            </w:r>
            <w:r w:rsidRPr="00F24F5D">
              <w:t xml:space="preserve">x </w:t>
            </w:r>
            <w:r w:rsidR="00F24F5D" w:rsidRPr="00F24F5D">
              <w:t>After-</w:t>
            </w:r>
            <w:r w:rsidR="00810944" w:rsidRPr="00F24F5D">
              <w:t>treatment</w:t>
            </w:r>
          </w:p>
        </w:tc>
        <w:tc>
          <w:tcPr>
            <w:tcW w:w="2250" w:type="dxa"/>
            <w:tcBorders>
              <w:right w:val="double" w:sz="4" w:space="0" w:color="auto"/>
            </w:tcBorders>
            <w:noWrap/>
            <w:vAlign w:val="bottom"/>
            <w:hideMark/>
          </w:tcPr>
          <w:p w14:paraId="28F81CFA" w14:textId="77777777" w:rsidR="00F24F5D" w:rsidRPr="00F24F5D" w:rsidRDefault="00F24F5D" w:rsidP="00F93363">
            <w:pPr>
              <w:pStyle w:val="Table"/>
              <w:keepNext/>
            </w:pPr>
            <w:r w:rsidRPr="00F24F5D">
              <w:t>N</w:t>
            </w:r>
            <w:r w:rsidR="00B47F2B">
              <w:t>O</w:t>
            </w:r>
            <w:r w:rsidRPr="00F24F5D">
              <w:t>x After-</w:t>
            </w:r>
            <w:r w:rsidR="00810944" w:rsidRPr="00F24F5D">
              <w:t>treatment</w:t>
            </w:r>
          </w:p>
        </w:tc>
      </w:tr>
      <w:tr w:rsidR="00F24F5D" w:rsidRPr="00F24F5D" w14:paraId="52C98017" w14:textId="77777777" w:rsidTr="00B7459C">
        <w:trPr>
          <w:trHeight w:val="255"/>
        </w:trPr>
        <w:tc>
          <w:tcPr>
            <w:tcW w:w="1406" w:type="dxa"/>
            <w:tcBorders>
              <w:left w:val="double" w:sz="4" w:space="0" w:color="auto"/>
            </w:tcBorders>
            <w:noWrap/>
            <w:vAlign w:val="bottom"/>
            <w:hideMark/>
          </w:tcPr>
          <w:p w14:paraId="2C5798A4" w14:textId="2CDE7764" w:rsidR="00F24F5D" w:rsidRPr="00F24F5D" w:rsidRDefault="002975D1" w:rsidP="006227B3">
            <w:pPr>
              <w:pStyle w:val="Table"/>
              <w:keepNext/>
              <w:jc w:val="center"/>
            </w:pPr>
            <w:r>
              <w:t>2013</w:t>
            </w:r>
            <w:r w:rsidR="00F24F5D" w:rsidRPr="00F24F5D">
              <w:t>-</w:t>
            </w:r>
            <w:r w:rsidR="006227B3" w:rsidRPr="00F24F5D">
              <w:t>201</w:t>
            </w:r>
            <w:r w:rsidR="006227B3">
              <w:t>9</w:t>
            </w:r>
          </w:p>
        </w:tc>
        <w:tc>
          <w:tcPr>
            <w:tcW w:w="2572" w:type="dxa"/>
            <w:noWrap/>
            <w:vAlign w:val="bottom"/>
            <w:hideMark/>
          </w:tcPr>
          <w:p w14:paraId="3787A006" w14:textId="77777777" w:rsidR="00F24F5D" w:rsidRPr="00F24F5D" w:rsidRDefault="00F24F5D" w:rsidP="00F93363">
            <w:pPr>
              <w:pStyle w:val="Table"/>
              <w:keepNext/>
            </w:pPr>
            <w:r w:rsidRPr="00F24F5D">
              <w:t>Dodge/Ram Cummins</w:t>
            </w:r>
          </w:p>
        </w:tc>
        <w:tc>
          <w:tcPr>
            <w:tcW w:w="2250" w:type="dxa"/>
            <w:noWrap/>
            <w:vAlign w:val="bottom"/>
            <w:hideMark/>
          </w:tcPr>
          <w:p w14:paraId="6912D4DA" w14:textId="77777777" w:rsidR="00F24F5D" w:rsidRPr="00F24F5D" w:rsidRDefault="00B47F2B" w:rsidP="00F93363">
            <w:pPr>
              <w:pStyle w:val="Table"/>
              <w:keepNext/>
            </w:pPr>
            <w:r w:rsidRPr="00F24F5D">
              <w:t>N</w:t>
            </w:r>
            <w:r>
              <w:t>O</w:t>
            </w:r>
            <w:r w:rsidRPr="00F24F5D">
              <w:t xml:space="preserve">x </w:t>
            </w:r>
            <w:r w:rsidR="00F24F5D" w:rsidRPr="00F24F5D">
              <w:t>After-</w:t>
            </w:r>
            <w:r w:rsidR="00810944" w:rsidRPr="00F24F5D">
              <w:t>treatment</w:t>
            </w:r>
          </w:p>
        </w:tc>
        <w:tc>
          <w:tcPr>
            <w:tcW w:w="2250" w:type="dxa"/>
            <w:tcBorders>
              <w:right w:val="double" w:sz="4" w:space="0" w:color="auto"/>
            </w:tcBorders>
            <w:noWrap/>
            <w:vAlign w:val="bottom"/>
            <w:hideMark/>
          </w:tcPr>
          <w:p w14:paraId="127CA4C3" w14:textId="77777777" w:rsidR="00F24F5D" w:rsidRPr="00F24F5D" w:rsidRDefault="00F24F5D" w:rsidP="00F93363">
            <w:pPr>
              <w:pStyle w:val="Table"/>
              <w:keepNext/>
            </w:pPr>
            <w:r w:rsidRPr="00F24F5D">
              <w:t>PM Filter</w:t>
            </w:r>
          </w:p>
        </w:tc>
      </w:tr>
      <w:tr w:rsidR="00F24F5D" w:rsidRPr="00F24F5D" w14:paraId="6AFE7345" w14:textId="77777777" w:rsidTr="00B7459C">
        <w:trPr>
          <w:trHeight w:val="270"/>
        </w:trPr>
        <w:tc>
          <w:tcPr>
            <w:tcW w:w="1406" w:type="dxa"/>
            <w:tcBorders>
              <w:left w:val="double" w:sz="4" w:space="0" w:color="auto"/>
              <w:bottom w:val="double" w:sz="4" w:space="0" w:color="auto"/>
            </w:tcBorders>
            <w:noWrap/>
            <w:vAlign w:val="bottom"/>
            <w:hideMark/>
          </w:tcPr>
          <w:p w14:paraId="1743D57D" w14:textId="6D96F61E" w:rsidR="00F24F5D" w:rsidRPr="00F24F5D" w:rsidRDefault="002975D1" w:rsidP="006227B3">
            <w:pPr>
              <w:pStyle w:val="Table"/>
              <w:keepNext/>
              <w:jc w:val="center"/>
            </w:pPr>
            <w:r>
              <w:t>2014</w:t>
            </w:r>
            <w:r w:rsidR="00F24F5D" w:rsidRPr="00F24F5D">
              <w:t>-</w:t>
            </w:r>
            <w:r w:rsidR="006227B3" w:rsidRPr="00F24F5D">
              <w:t>201</w:t>
            </w:r>
            <w:r w:rsidR="006227B3">
              <w:t>9</w:t>
            </w:r>
          </w:p>
        </w:tc>
        <w:tc>
          <w:tcPr>
            <w:tcW w:w="2572" w:type="dxa"/>
            <w:tcBorders>
              <w:bottom w:val="double" w:sz="4" w:space="0" w:color="auto"/>
            </w:tcBorders>
            <w:noWrap/>
            <w:vAlign w:val="bottom"/>
            <w:hideMark/>
          </w:tcPr>
          <w:p w14:paraId="2061DBCD" w14:textId="77777777" w:rsidR="00F24F5D" w:rsidRPr="00F24F5D" w:rsidRDefault="00F24F5D" w:rsidP="00F93363">
            <w:pPr>
              <w:pStyle w:val="Table"/>
              <w:keepNext/>
            </w:pPr>
            <w:r w:rsidRPr="00F24F5D">
              <w:t>Fiat 3L V6 Diesels</w:t>
            </w:r>
            <w:r w:rsidRPr="00171790">
              <w:rPr>
                <w:sz w:val="18"/>
                <w:szCs w:val="18"/>
                <w:vertAlign w:val="superscript"/>
              </w:rPr>
              <w:t>*</w:t>
            </w:r>
          </w:p>
        </w:tc>
        <w:tc>
          <w:tcPr>
            <w:tcW w:w="2250" w:type="dxa"/>
            <w:tcBorders>
              <w:bottom w:val="double" w:sz="4" w:space="0" w:color="auto"/>
            </w:tcBorders>
            <w:noWrap/>
            <w:vAlign w:val="bottom"/>
            <w:hideMark/>
          </w:tcPr>
          <w:p w14:paraId="653A1492" w14:textId="77777777" w:rsidR="00F24F5D" w:rsidRPr="00F24F5D" w:rsidRDefault="00F24F5D" w:rsidP="00F93363">
            <w:pPr>
              <w:pStyle w:val="Table"/>
              <w:keepNext/>
            </w:pPr>
            <w:r w:rsidRPr="00F24F5D">
              <w:t>None</w:t>
            </w:r>
            <w:r w:rsidR="00B47F2B">
              <w:t xml:space="preserve"> </w:t>
            </w:r>
          </w:p>
        </w:tc>
        <w:tc>
          <w:tcPr>
            <w:tcW w:w="2250" w:type="dxa"/>
            <w:tcBorders>
              <w:bottom w:val="double" w:sz="4" w:space="0" w:color="auto"/>
              <w:right w:val="double" w:sz="4" w:space="0" w:color="auto"/>
            </w:tcBorders>
            <w:noWrap/>
            <w:vAlign w:val="bottom"/>
            <w:hideMark/>
          </w:tcPr>
          <w:p w14:paraId="003421B9" w14:textId="77777777" w:rsidR="00F24F5D" w:rsidRPr="00F24F5D" w:rsidRDefault="00F24F5D" w:rsidP="00F93363">
            <w:pPr>
              <w:pStyle w:val="Table"/>
              <w:keepNext/>
            </w:pPr>
            <w:r w:rsidRPr="00F24F5D">
              <w:t>NMHC Cat</w:t>
            </w:r>
          </w:p>
        </w:tc>
      </w:tr>
      <w:tr w:rsidR="00703A58" w:rsidRPr="00F24F5D" w14:paraId="512919CF" w14:textId="77777777" w:rsidTr="00B7459C">
        <w:trPr>
          <w:trHeight w:val="255"/>
        </w:trPr>
        <w:tc>
          <w:tcPr>
            <w:tcW w:w="1406" w:type="dxa"/>
            <w:tcBorders>
              <w:top w:val="double" w:sz="4" w:space="0" w:color="auto"/>
              <w:left w:val="nil"/>
              <w:bottom w:val="nil"/>
              <w:right w:val="nil"/>
            </w:tcBorders>
            <w:noWrap/>
            <w:hideMark/>
          </w:tcPr>
          <w:p w14:paraId="3E991FB2" w14:textId="77777777" w:rsidR="00703A58" w:rsidRPr="00F24F5D" w:rsidRDefault="00703A58" w:rsidP="00114FBE">
            <w:pPr>
              <w:pStyle w:val="Table"/>
            </w:pPr>
          </w:p>
        </w:tc>
        <w:tc>
          <w:tcPr>
            <w:tcW w:w="4822" w:type="dxa"/>
            <w:gridSpan w:val="2"/>
            <w:tcBorders>
              <w:top w:val="double" w:sz="4" w:space="0" w:color="auto"/>
              <w:left w:val="nil"/>
              <w:bottom w:val="nil"/>
              <w:right w:val="nil"/>
            </w:tcBorders>
          </w:tcPr>
          <w:p w14:paraId="1361BAAC" w14:textId="77777777" w:rsidR="00703A58" w:rsidRPr="00F24F5D" w:rsidRDefault="00703A58" w:rsidP="00114FBE">
            <w:pPr>
              <w:pStyle w:val="Table"/>
            </w:pPr>
            <w:r w:rsidRPr="00171790">
              <w:rPr>
                <w:sz w:val="18"/>
                <w:szCs w:val="18"/>
                <w:vertAlign w:val="superscript"/>
              </w:rPr>
              <w:t>*</w:t>
            </w:r>
            <w:r w:rsidRPr="00F24F5D">
              <w:t xml:space="preserve"> </w:t>
            </w:r>
            <w:r w:rsidRPr="00114FBE">
              <w:rPr>
                <w:sz w:val="20"/>
              </w:rPr>
              <w:t>used in Ram 1500 pickups and Jeep Grand Cherokee</w:t>
            </w:r>
            <w:r w:rsidR="00B7459C">
              <w:rPr>
                <w:sz w:val="20"/>
              </w:rPr>
              <w:t>s</w:t>
            </w:r>
          </w:p>
        </w:tc>
        <w:tc>
          <w:tcPr>
            <w:tcW w:w="2250" w:type="dxa"/>
            <w:tcBorders>
              <w:top w:val="double" w:sz="4" w:space="0" w:color="auto"/>
              <w:left w:val="nil"/>
              <w:bottom w:val="nil"/>
              <w:right w:val="nil"/>
            </w:tcBorders>
            <w:noWrap/>
            <w:hideMark/>
          </w:tcPr>
          <w:p w14:paraId="27430525" w14:textId="77777777" w:rsidR="00703A58" w:rsidRPr="00F24F5D" w:rsidRDefault="00703A58" w:rsidP="00114FBE">
            <w:pPr>
              <w:pStyle w:val="Table"/>
            </w:pPr>
          </w:p>
        </w:tc>
      </w:tr>
    </w:tbl>
    <w:p w14:paraId="30CFEAF9" w14:textId="4D4893F9" w:rsidR="00F76673" w:rsidRDefault="00F76673" w:rsidP="00C43331">
      <w:pPr>
        <w:pStyle w:val="Text"/>
        <w:rPr>
          <w:u w:val="single"/>
        </w:rPr>
      </w:pPr>
      <w:r>
        <w:t>Note</w:t>
      </w:r>
      <w:r w:rsidR="00FB3005">
        <w:t xml:space="preserve">: </w:t>
      </w:r>
      <w:r w:rsidR="00217130">
        <w:t>T</w:t>
      </w:r>
      <w:r>
        <w:t xml:space="preserve">hese exclusions were </w:t>
      </w:r>
      <w:r w:rsidR="00217130">
        <w:t>briefly suspended during the new program roll out on</w:t>
      </w:r>
      <w:r w:rsidR="00E453C9">
        <w:t xml:space="preserve"> </w:t>
      </w:r>
      <w:r>
        <w:t xml:space="preserve">October 1, 2017 because </w:t>
      </w:r>
      <w:r w:rsidR="00E453C9">
        <w:t xml:space="preserve">the </w:t>
      </w:r>
      <w:r>
        <w:t xml:space="preserve">software functionality was not </w:t>
      </w:r>
      <w:r w:rsidR="00E453C9">
        <w:t xml:space="preserve">fully </w:t>
      </w:r>
      <w:r>
        <w:t>developed</w:t>
      </w:r>
      <w:r w:rsidR="005C01D9">
        <w:t xml:space="preserve"> to allow exclusions</w:t>
      </w:r>
      <w:r w:rsidR="00217130">
        <w:t>.  During that period</w:t>
      </w:r>
      <w:r w:rsidR="00E453C9">
        <w:t>, those vehicles that experienced readiness issues were provided relief manually on a case-by-case basis</w:t>
      </w:r>
      <w:r>
        <w:t xml:space="preserve">.  The </w:t>
      </w:r>
      <w:r w:rsidR="00E453C9">
        <w:t xml:space="preserve">automatic </w:t>
      </w:r>
      <w:r>
        <w:t>exclusions were reinstated in early 2018</w:t>
      </w:r>
      <w:r w:rsidR="008F04AA">
        <w:t>.</w:t>
      </w:r>
    </w:p>
    <w:p w14:paraId="7ACD2A9B" w14:textId="66D474C5" w:rsidR="007C55AC" w:rsidRPr="00E453C9" w:rsidRDefault="00B41967" w:rsidP="00366583">
      <w:pPr>
        <w:pStyle w:val="Text"/>
      </w:pPr>
      <w:r w:rsidRPr="00742742">
        <w:rPr>
          <w:u w:val="single"/>
        </w:rPr>
        <w:t>Program Authority (Legislation and Regulations):</w:t>
      </w:r>
      <w:r w:rsidRPr="00742742">
        <w:t xml:space="preserve">  </w:t>
      </w:r>
      <w:r w:rsidR="00366583">
        <w:t>No changes to program legislation or regulations were made in 2018 and 2019.</w:t>
      </w:r>
    </w:p>
    <w:p w14:paraId="2BE86C7A" w14:textId="77777777" w:rsidR="00B41967" w:rsidRPr="00742742" w:rsidRDefault="00B41967" w:rsidP="00C43331">
      <w:pPr>
        <w:pStyle w:val="Heading"/>
      </w:pPr>
      <w:r w:rsidRPr="00742742">
        <w:t>Program Issues Identified and Corrected</w:t>
      </w:r>
    </w:p>
    <w:p w14:paraId="0E965B04" w14:textId="64989141" w:rsidR="00900F68" w:rsidRPr="00797AE8" w:rsidRDefault="001576F9" w:rsidP="00C43331">
      <w:pPr>
        <w:pStyle w:val="Text"/>
      </w:pPr>
      <w:r w:rsidRPr="00742742">
        <w:t xml:space="preserve">During </w:t>
      </w:r>
      <w:r w:rsidR="00C13332">
        <w:t>2018</w:t>
      </w:r>
      <w:r w:rsidR="00C13332" w:rsidRPr="00742742">
        <w:t xml:space="preserve"> </w:t>
      </w:r>
      <w:r w:rsidR="00EE01DB" w:rsidRPr="00742742">
        <w:t xml:space="preserve">and </w:t>
      </w:r>
      <w:r w:rsidR="00C13332">
        <w:t>2019</w:t>
      </w:r>
      <w:r w:rsidRPr="00742742">
        <w:t xml:space="preserve">, </w:t>
      </w:r>
      <w:proofErr w:type="spellStart"/>
      <w:r w:rsidRPr="00742742">
        <w:t>MassDEP</w:t>
      </w:r>
      <w:proofErr w:type="spellEnd"/>
      <w:r w:rsidRPr="00742742">
        <w:t xml:space="preserve"> and RMV worked with the </w:t>
      </w:r>
      <w:r w:rsidR="00BF2000">
        <w:t>C</w:t>
      </w:r>
      <w:r w:rsidRPr="00742742">
        <w:t>ontractor to address program issues.</w:t>
      </w:r>
    </w:p>
    <w:p w14:paraId="392E6200" w14:textId="638AFEF4" w:rsidR="009C5557" w:rsidRDefault="009C5557" w:rsidP="00C43331">
      <w:pPr>
        <w:pStyle w:val="Text"/>
        <w:numPr>
          <w:ilvl w:val="0"/>
          <w:numId w:val="8"/>
        </w:numPr>
      </w:pPr>
      <w:r>
        <w:rPr>
          <w:i/>
        </w:rPr>
        <w:t xml:space="preserve">Database and Workstation Software Revisions:  </w:t>
      </w:r>
      <w:r>
        <w:t xml:space="preserve">During </w:t>
      </w:r>
      <w:r w:rsidR="00C13332">
        <w:t>2018 and 2019</w:t>
      </w:r>
      <w:r>
        <w:t xml:space="preserve">, the Agencies worked with </w:t>
      </w:r>
      <w:proofErr w:type="spellStart"/>
      <w:r w:rsidR="00CB5E9A">
        <w:t>Applus</w:t>
      </w:r>
      <w:proofErr w:type="spellEnd"/>
      <w:r w:rsidR="00CB5E9A">
        <w:t xml:space="preserve"> </w:t>
      </w:r>
      <w:r>
        <w:t>to implement the following revisions to database and workstation software:</w:t>
      </w:r>
    </w:p>
    <w:p w14:paraId="437260A8" w14:textId="77777777" w:rsidR="009C4A44" w:rsidRDefault="00E41F31" w:rsidP="00AD3EA2">
      <w:pPr>
        <w:pStyle w:val="Table"/>
        <w:numPr>
          <w:ilvl w:val="1"/>
          <w:numId w:val="17"/>
        </w:numPr>
      </w:pPr>
      <w:r>
        <w:t>improve</w:t>
      </w:r>
      <w:r w:rsidR="009C4A44">
        <w:t>/upgrade sticker tracking functions;</w:t>
      </w:r>
    </w:p>
    <w:p w14:paraId="15F2F1E3" w14:textId="670DD2F1" w:rsidR="00B778D9" w:rsidRDefault="00B778D9" w:rsidP="00AD3EA2">
      <w:pPr>
        <w:pStyle w:val="Table"/>
        <w:numPr>
          <w:ilvl w:val="1"/>
          <w:numId w:val="17"/>
        </w:numPr>
      </w:pPr>
      <w:proofErr w:type="gramStart"/>
      <w:r>
        <w:t>turn</w:t>
      </w:r>
      <w:proofErr w:type="gramEnd"/>
      <w:r>
        <w:t xml:space="preserve"> on inspection bay cameras to capture still images and video during the inspection to be uploaded to the VID after the inspection is completed.</w:t>
      </w:r>
    </w:p>
    <w:p w14:paraId="243657AD" w14:textId="5B39F0A6" w:rsidR="00B778D9" w:rsidRDefault="00B778D9" w:rsidP="00AD3EA2">
      <w:pPr>
        <w:pStyle w:val="Table"/>
        <w:numPr>
          <w:ilvl w:val="1"/>
          <w:numId w:val="17"/>
        </w:numPr>
      </w:pPr>
      <w:proofErr w:type="gramStart"/>
      <w:r>
        <w:t>turn</w:t>
      </w:r>
      <w:proofErr w:type="gramEnd"/>
      <w:r>
        <w:t xml:space="preserve"> on Test Interruption to perform real-time program </w:t>
      </w:r>
      <w:r w:rsidR="008B25D7">
        <w:t>quality assurance</w:t>
      </w:r>
      <w:r w:rsidR="00716E70">
        <w:t>.</w:t>
      </w:r>
    </w:p>
    <w:p w14:paraId="39610198" w14:textId="6AC80AEF" w:rsidR="0026594F" w:rsidRDefault="00276C31" w:rsidP="00AD3EA2">
      <w:pPr>
        <w:pStyle w:val="Table"/>
        <w:numPr>
          <w:ilvl w:val="1"/>
          <w:numId w:val="17"/>
        </w:numPr>
      </w:pPr>
      <w:proofErr w:type="gramStart"/>
      <w:r>
        <w:t>fix</w:t>
      </w:r>
      <w:proofErr w:type="gramEnd"/>
      <w:r w:rsidR="00B778D9">
        <w:t xml:space="preserve"> various software bugs </w:t>
      </w:r>
      <w:r w:rsidR="00162BEE">
        <w:t xml:space="preserve">and deficiencies </w:t>
      </w:r>
      <w:r w:rsidR="00B778D9">
        <w:t>identified during the October 1, 2017 roll out</w:t>
      </w:r>
      <w:r w:rsidR="00716E70">
        <w:t>.</w:t>
      </w:r>
    </w:p>
    <w:p w14:paraId="5986FBBC" w14:textId="027DE725" w:rsidR="00492A95" w:rsidRDefault="00492A95" w:rsidP="00492A95">
      <w:pPr>
        <w:pStyle w:val="Table"/>
        <w:numPr>
          <w:ilvl w:val="0"/>
          <w:numId w:val="8"/>
        </w:numPr>
        <w:rPr>
          <w:i/>
          <w:iCs/>
        </w:rPr>
      </w:pPr>
      <w:r>
        <w:rPr>
          <w:i/>
          <w:iCs/>
        </w:rPr>
        <w:t xml:space="preserve">RMV’s Automated License and Registration System (ALARS) replacement: </w:t>
      </w:r>
      <w:r w:rsidR="00F44458">
        <w:t>In 2013,</w:t>
      </w:r>
      <w:r>
        <w:t xml:space="preserve"> RMV began planning the replacement of the aging ALARS system with a new system called ATLAS. </w:t>
      </w:r>
      <w:r w:rsidR="00BD0C69">
        <w:t xml:space="preserve"> </w:t>
      </w:r>
      <w:r>
        <w:t xml:space="preserve">Due to the large scope of the project, the implementation was split into multiple phases. </w:t>
      </w:r>
      <w:r w:rsidR="00BD0C69">
        <w:t xml:space="preserve"> </w:t>
      </w:r>
      <w:r>
        <w:t>The first phase, R1, focused on drivers</w:t>
      </w:r>
      <w:r w:rsidR="00D94B58">
        <w:t>’</w:t>
      </w:r>
      <w:r>
        <w:t xml:space="preserve"> and inspectors</w:t>
      </w:r>
      <w:r w:rsidR="00D94B58">
        <w:t>’</w:t>
      </w:r>
      <w:r>
        <w:t xml:space="preserve"> licenses and was completed in March 2018.</w:t>
      </w:r>
      <w:r w:rsidR="00BD0C69">
        <w:t xml:space="preserve"> </w:t>
      </w:r>
      <w:r>
        <w:t xml:space="preserve"> The second phase, R2, focused on vehicle </w:t>
      </w:r>
      <w:r w:rsidR="00373918">
        <w:t xml:space="preserve">titles and </w:t>
      </w:r>
      <w:r>
        <w:t>registrations and was completed in November 2019.</w:t>
      </w:r>
    </w:p>
    <w:p w14:paraId="1AB812CB" w14:textId="287A48B1" w:rsidR="00B41967" w:rsidRPr="00D55E8E" w:rsidRDefault="00DF000D" w:rsidP="00C43331">
      <w:pPr>
        <w:pStyle w:val="Text"/>
      </w:pPr>
      <w:r w:rsidRPr="00D55E8E">
        <w:rPr>
          <w:i/>
        </w:rPr>
        <w:lastRenderedPageBreak/>
        <w:t>Registration Enforcement:</w:t>
      </w:r>
      <w:r w:rsidRPr="00D55E8E">
        <w:t xml:space="preserve"> </w:t>
      </w:r>
      <w:r w:rsidR="00B41967" w:rsidRPr="00D55E8E">
        <w:t xml:space="preserve">Massachusetts did not start a state-wide registration enforcement program in </w:t>
      </w:r>
      <w:r w:rsidR="00E4303E" w:rsidRPr="00D55E8E">
        <w:t xml:space="preserve">2018 </w:t>
      </w:r>
      <w:r w:rsidR="00EE01DB" w:rsidRPr="00D55E8E">
        <w:t xml:space="preserve">and </w:t>
      </w:r>
      <w:r w:rsidR="00E4303E" w:rsidRPr="00D55E8E">
        <w:t>2019</w:t>
      </w:r>
      <w:r w:rsidR="00EE01DB" w:rsidRPr="00D55E8E">
        <w:t>.</w:t>
      </w:r>
      <w:r w:rsidR="00B41967" w:rsidRPr="00D55E8E">
        <w:t xml:space="preserve">  </w:t>
      </w:r>
      <w:r w:rsidR="00E4303E" w:rsidRPr="00D55E8E">
        <w:t xml:space="preserve">Currently, </w:t>
      </w:r>
      <w:proofErr w:type="gramStart"/>
      <w:r w:rsidR="00E4303E" w:rsidRPr="00D55E8E">
        <w:t>r</w:t>
      </w:r>
      <w:r w:rsidR="00B41967" w:rsidRPr="00D55E8E">
        <w:t>esponsibility</w:t>
      </w:r>
      <w:proofErr w:type="gramEnd"/>
      <w:r w:rsidR="00B41967" w:rsidRPr="00D55E8E">
        <w:t xml:space="preserve"> for enforcement against motorists who fail to get their vehicles inspected or fail to pass their inspection is shared by </w:t>
      </w:r>
      <w:r w:rsidR="00241407" w:rsidRPr="00D55E8E">
        <w:t>RMV</w:t>
      </w:r>
      <w:r w:rsidR="00B41967" w:rsidRPr="00D55E8E">
        <w:t xml:space="preserve"> and local and state police.  Since the program’s inception, RMV’s enforcement efforts have focused primarily on ensuring that inspectors and inspection stations properly administer the test, while local and state police have issued citations to motorists found to be driving vehicles witho</w:t>
      </w:r>
      <w:r w:rsidR="00CF1666" w:rsidRPr="00D55E8E">
        <w:t>ut proper inspection stickers.</w:t>
      </w:r>
    </w:p>
    <w:p w14:paraId="22B5C300" w14:textId="76438849" w:rsidR="00B41967" w:rsidRPr="00D55E8E" w:rsidRDefault="00B41967" w:rsidP="00C43331">
      <w:pPr>
        <w:pStyle w:val="Text"/>
      </w:pPr>
      <w:r w:rsidRPr="00D55E8E">
        <w:t>While state and local police continue to issue tickets for vehicles they find on the road without proper inspection stickers, RMV’s registration enforcement program had not been implemented by the end of</w:t>
      </w:r>
      <w:r w:rsidR="00476E5B" w:rsidRPr="00D55E8E">
        <w:t xml:space="preserve"> </w:t>
      </w:r>
      <w:r w:rsidR="00E4303E" w:rsidRPr="00D55E8E">
        <w:t>2019</w:t>
      </w:r>
      <w:r w:rsidR="00CF1666" w:rsidRPr="00D55E8E">
        <w:t>.</w:t>
      </w:r>
    </w:p>
    <w:p w14:paraId="418ACA04" w14:textId="2E0583F0" w:rsidR="0074333F" w:rsidRPr="00CA6917" w:rsidRDefault="00B41967" w:rsidP="00276C31">
      <w:pPr>
        <w:pStyle w:val="Text"/>
        <w:rPr>
          <w:bCs/>
        </w:rPr>
      </w:pPr>
      <w:r w:rsidRPr="00D55E8E">
        <w:t xml:space="preserve">RMV recognizes the need to have a registration enforcement program to enhance its efforts to ensure that motorists comply with the requirements of the Massachusetts I&amp;M </w:t>
      </w:r>
      <w:r w:rsidR="00665277" w:rsidRPr="00D55E8E">
        <w:t>P</w:t>
      </w:r>
      <w:r w:rsidRPr="00D55E8E">
        <w:t xml:space="preserve">rogram.  </w:t>
      </w:r>
      <w:r w:rsidR="00030943" w:rsidRPr="00D55E8E">
        <w:t>With the transition from ALARS to ATLAS completed,</w:t>
      </w:r>
      <w:r w:rsidR="00A36493">
        <w:t xml:space="preserve"> in 2020</w:t>
      </w:r>
      <w:r w:rsidR="007752B2">
        <w:t xml:space="preserve"> </w:t>
      </w:r>
      <w:r w:rsidR="00030943" w:rsidRPr="00D55E8E">
        <w:t>the ATLAS</w:t>
      </w:r>
      <w:r w:rsidR="007A09D3">
        <w:t xml:space="preserve"> team </w:t>
      </w:r>
      <w:r w:rsidR="00030943" w:rsidRPr="00D55E8E">
        <w:t xml:space="preserve">focused </w:t>
      </w:r>
      <w:r w:rsidR="007752B2">
        <w:t xml:space="preserve">efforts </w:t>
      </w:r>
      <w:r w:rsidR="00030943" w:rsidRPr="00D55E8E">
        <w:t xml:space="preserve">on functions necessary for implementing registration </w:t>
      </w:r>
      <w:r w:rsidR="00030943" w:rsidRPr="00CA6917">
        <w:t xml:space="preserve">enforcement.  </w:t>
      </w:r>
      <w:r w:rsidR="00276C31" w:rsidRPr="00CA6917">
        <w:t>However, due to the COVID-19 pandemic, this effort has been temporar</w:t>
      </w:r>
      <w:r w:rsidR="007752B2" w:rsidRPr="00CA6917">
        <w:t>ily</w:t>
      </w:r>
      <w:r w:rsidR="00276C31" w:rsidRPr="00CA6917">
        <w:t xml:space="preserve"> suspended. </w:t>
      </w:r>
      <w:r w:rsidR="00BD0C69">
        <w:t xml:space="preserve"> </w:t>
      </w:r>
      <w:r w:rsidR="00276C31" w:rsidRPr="00CA6917">
        <w:t xml:space="preserve">RMV hopes to </w:t>
      </w:r>
      <w:r w:rsidR="00CD1585" w:rsidRPr="00CA6917">
        <w:t>restart these efforts</w:t>
      </w:r>
      <w:r w:rsidR="00276C31" w:rsidRPr="00CA6917">
        <w:t xml:space="preserve"> by the end of 2020.</w:t>
      </w:r>
    </w:p>
    <w:p w14:paraId="0474D778" w14:textId="6F578D0A" w:rsidR="00B41967" w:rsidRPr="00FB51EC" w:rsidRDefault="00B41967" w:rsidP="00C43331">
      <w:pPr>
        <w:pStyle w:val="Text"/>
      </w:pPr>
      <w:r w:rsidRPr="00464F37">
        <w:t xml:space="preserve">RMV continues to be committed to the registration enforcement requirement and is anxious to see it implemented.  At the same time, </w:t>
      </w:r>
      <w:r w:rsidR="00335971">
        <w:t>RMV</w:t>
      </w:r>
      <w:r w:rsidRPr="00464F37">
        <w:t xml:space="preserve"> observes that Massachusetts enjoys a compliance rate </w:t>
      </w:r>
      <w:r w:rsidR="00B31A16">
        <w:t>of approximately</w:t>
      </w:r>
      <w:r w:rsidRPr="007D61F1">
        <w:t xml:space="preserve"> </w:t>
      </w:r>
      <w:r w:rsidR="00276C31" w:rsidRPr="00160DBB">
        <w:t>89</w:t>
      </w:r>
      <w:r w:rsidR="004675E6" w:rsidRPr="00160DBB">
        <w:t>%</w:t>
      </w:r>
      <w:r w:rsidRPr="007D61F1">
        <w:t xml:space="preserve"> in database surveys and </w:t>
      </w:r>
      <w:r w:rsidR="00276C31" w:rsidRPr="00160DBB">
        <w:t>95</w:t>
      </w:r>
      <w:r w:rsidRPr="00160DBB">
        <w:t>%</w:t>
      </w:r>
      <w:r w:rsidRPr="007D61F1">
        <w:t xml:space="preserve"> in actual</w:t>
      </w:r>
      <w:r w:rsidRPr="00FB51EC">
        <w:t xml:space="preserve"> parking lot surveys, which is similar to the rates found in many other states.</w:t>
      </w:r>
    </w:p>
    <w:p w14:paraId="117ACC2C" w14:textId="77777777" w:rsidR="00B41967" w:rsidRPr="00464F37" w:rsidRDefault="00B41967" w:rsidP="00C43331">
      <w:pPr>
        <w:pStyle w:val="Text"/>
      </w:pPr>
      <w:r w:rsidRPr="00464F37">
        <w:t>Reports Referenced</w:t>
      </w:r>
    </w:p>
    <w:p w14:paraId="2EF76297" w14:textId="58B17505" w:rsidR="00CF1126" w:rsidRDefault="00B41967" w:rsidP="00C43331">
      <w:pPr>
        <w:pStyle w:val="Text"/>
        <w:numPr>
          <w:ilvl w:val="0"/>
          <w:numId w:val="10"/>
        </w:numPr>
      </w:pPr>
      <w:r w:rsidRPr="00750152">
        <w:t xml:space="preserve">Annual Reports to the U.S. Environmental Protection Agency describing the implementation of the Massachusetts Enhanced Emissions and Safety Test Program for </w:t>
      </w:r>
      <w:r w:rsidR="00671FE2" w:rsidRPr="00750152">
        <w:t>200</w:t>
      </w:r>
      <w:r w:rsidR="00671FE2">
        <w:t xml:space="preserve">9 </w:t>
      </w:r>
      <w:r w:rsidR="00464F37" w:rsidRPr="00750152">
        <w:t>th</w:t>
      </w:r>
      <w:r w:rsidR="00C85E5A">
        <w:t>r</w:t>
      </w:r>
      <w:r w:rsidR="00464F37" w:rsidRPr="00750152">
        <w:t xml:space="preserve">ough </w:t>
      </w:r>
      <w:r w:rsidR="00F634FA">
        <w:t>201</w:t>
      </w:r>
      <w:r w:rsidR="00D55E8E">
        <w:t>8</w:t>
      </w:r>
      <w:r w:rsidR="00F634FA" w:rsidRPr="00750152">
        <w:t xml:space="preserve"> </w:t>
      </w:r>
      <w:r w:rsidRPr="00750152">
        <w:t>can be found at the program’s web site:</w:t>
      </w:r>
      <w:r w:rsidR="00641AAF" w:rsidRPr="00750152">
        <w:t xml:space="preserve">  </w:t>
      </w:r>
    </w:p>
    <w:p w14:paraId="638E13F2" w14:textId="77777777" w:rsidR="00B41967" w:rsidRPr="00750152" w:rsidRDefault="003A76B7" w:rsidP="00CF1126">
      <w:pPr>
        <w:pStyle w:val="Text"/>
        <w:ind w:left="720"/>
      </w:pPr>
      <w:hyperlink r:id="rId18" w:history="1">
        <w:r w:rsidR="00CF1126" w:rsidRPr="00CF1126">
          <w:rPr>
            <w:rStyle w:val="Hyperlink"/>
            <w:i/>
            <w:sz w:val="22"/>
            <w:szCs w:val="22"/>
          </w:rPr>
          <w:t>https://www.mavehiclecheck.com/motorists-resources</w:t>
        </w:r>
      </w:hyperlink>
    </w:p>
    <w:p w14:paraId="5CA003A1" w14:textId="2AE3394D" w:rsidR="00B41967" w:rsidRPr="00CF1666" w:rsidRDefault="00B41967" w:rsidP="00C43331">
      <w:pPr>
        <w:pStyle w:val="Text"/>
        <w:numPr>
          <w:ilvl w:val="0"/>
          <w:numId w:val="10"/>
        </w:numPr>
        <w:rPr>
          <w:smallCaps/>
        </w:rPr>
      </w:pPr>
      <w:r w:rsidRPr="00750152">
        <w:t xml:space="preserve">Biennial Reports to the U.S. Environmental Protection Agency describing the program in </w:t>
      </w:r>
      <w:r w:rsidR="004C34B8" w:rsidRPr="00750152">
        <w:t>2008-09</w:t>
      </w:r>
      <w:r w:rsidR="002E47E2">
        <w:t>,</w:t>
      </w:r>
      <w:r w:rsidR="00E41F31">
        <w:t xml:space="preserve"> </w:t>
      </w:r>
      <w:r w:rsidR="00750152" w:rsidRPr="00750152">
        <w:t>2010-11</w:t>
      </w:r>
      <w:r w:rsidR="00671FE2">
        <w:t>,</w:t>
      </w:r>
      <w:r w:rsidR="004C34B8" w:rsidRPr="00750152">
        <w:t xml:space="preserve"> </w:t>
      </w:r>
      <w:r w:rsidR="002E47E2">
        <w:t>2012-13</w:t>
      </w:r>
      <w:r w:rsidR="00671FE2">
        <w:t>, 201</w:t>
      </w:r>
      <w:r w:rsidR="00F12707">
        <w:t>4</w:t>
      </w:r>
      <w:r w:rsidR="00671FE2">
        <w:t>-1</w:t>
      </w:r>
      <w:r w:rsidR="00F12707">
        <w:t>5</w:t>
      </w:r>
      <w:r w:rsidR="00F634FA">
        <w:t>, and 2016-17</w:t>
      </w:r>
      <w:r w:rsidR="002E47E2">
        <w:t xml:space="preserve"> </w:t>
      </w:r>
      <w:r w:rsidRPr="00750152">
        <w:t>can also be found at the same web site.</w:t>
      </w:r>
    </w:p>
    <w:sectPr w:rsidR="00B41967" w:rsidRPr="00CF1666" w:rsidSect="00495A82">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369EA" w14:textId="77777777" w:rsidR="00764FAE" w:rsidRDefault="00764FAE">
      <w:r>
        <w:separator/>
      </w:r>
    </w:p>
  </w:endnote>
  <w:endnote w:type="continuationSeparator" w:id="0">
    <w:p w14:paraId="07B97ED9" w14:textId="77777777" w:rsidR="00764FAE" w:rsidRDefault="0076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Nova Light SSi">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E0F8D" w14:textId="77777777" w:rsidR="00CF1126" w:rsidRDefault="00CF1126" w:rsidP="00B419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B77D7F" w14:textId="77777777" w:rsidR="00CF1126" w:rsidRDefault="00CF1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7DCC9" w14:textId="77777777" w:rsidR="00CF1126" w:rsidRDefault="00CF1126" w:rsidP="00B419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9DD593" w14:textId="77777777" w:rsidR="00CF1126" w:rsidRDefault="00CF1126">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20" w:type="dxa"/>
      <w:jc w:val="center"/>
      <w:tblLayout w:type="fixed"/>
      <w:tblLook w:val="0000" w:firstRow="0" w:lastRow="0" w:firstColumn="0" w:lastColumn="0" w:noHBand="0" w:noVBand="0"/>
    </w:tblPr>
    <w:tblGrid>
      <w:gridCol w:w="11520"/>
    </w:tblGrid>
    <w:tr w:rsidR="00CF1126" w:rsidRPr="000C3209" w14:paraId="476588F5" w14:textId="77777777" w:rsidTr="009B49A7">
      <w:trPr>
        <w:trHeight w:val="363"/>
        <w:jc w:val="center"/>
      </w:trPr>
      <w:tc>
        <w:tcPr>
          <w:tcW w:w="11520" w:type="dxa"/>
          <w:vAlign w:val="bottom"/>
        </w:tcPr>
        <w:p w14:paraId="76908002" w14:textId="77777777" w:rsidR="00CF1126" w:rsidRDefault="00CF1126" w:rsidP="009B49A7">
          <w:pPr>
            <w:ind w:left="72" w:right="162"/>
            <w:jc w:val="center"/>
            <w:rPr>
              <w:rFonts w:ascii="Arial" w:hAnsi="Arial"/>
              <w:b/>
              <w:color w:val="008000"/>
              <w:sz w:val="14"/>
            </w:rPr>
          </w:pPr>
          <w:r w:rsidRPr="000C3209">
            <w:rPr>
              <w:rFonts w:ascii="Arial" w:hAnsi="Arial"/>
              <w:b/>
              <w:color w:val="008000"/>
              <w:sz w:val="14"/>
            </w:rPr>
            <w:t xml:space="preserve">This information is available in alternate </w:t>
          </w:r>
          <w:r w:rsidRPr="0084748E">
            <w:rPr>
              <w:rFonts w:ascii="Arial" w:hAnsi="Arial"/>
              <w:b/>
              <w:color w:val="008000"/>
              <w:sz w:val="14"/>
            </w:rPr>
            <w:t xml:space="preserve">format. </w:t>
          </w:r>
          <w:r w:rsidRPr="0032120C">
            <w:rPr>
              <w:rFonts w:ascii="Arial" w:hAnsi="Arial"/>
              <w:b/>
              <w:color w:val="008000"/>
              <w:sz w:val="14"/>
            </w:rPr>
            <w:t>Contact Michelle Waters-</w:t>
          </w:r>
          <w:proofErr w:type="spellStart"/>
          <w:r w:rsidRPr="0032120C">
            <w:rPr>
              <w:rFonts w:ascii="Arial" w:hAnsi="Arial"/>
              <w:b/>
              <w:color w:val="008000"/>
              <w:sz w:val="14"/>
            </w:rPr>
            <w:t>Ekanem</w:t>
          </w:r>
          <w:proofErr w:type="spellEnd"/>
          <w:r w:rsidRPr="0032120C">
            <w:rPr>
              <w:rFonts w:ascii="Arial" w:hAnsi="Arial"/>
              <w:b/>
              <w:color w:val="008000"/>
              <w:sz w:val="14"/>
            </w:rPr>
            <w:t>, Director of Diversity/Civil Rights at 617-292-5751</w:t>
          </w:r>
          <w:r>
            <w:rPr>
              <w:rFonts w:ascii="Arial" w:hAnsi="Arial"/>
              <w:b/>
              <w:color w:val="008000"/>
              <w:sz w:val="14"/>
            </w:rPr>
            <w:t>.</w:t>
          </w:r>
        </w:p>
        <w:p w14:paraId="208BBB79" w14:textId="77777777" w:rsidR="00CF1126" w:rsidRDefault="00CF1126" w:rsidP="009B49A7">
          <w:pPr>
            <w:ind w:left="72" w:right="162"/>
            <w:jc w:val="center"/>
            <w:rPr>
              <w:rFonts w:ascii="Arial" w:hAnsi="Arial"/>
              <w:b/>
              <w:color w:val="008000"/>
              <w:sz w:val="14"/>
            </w:rPr>
          </w:pPr>
          <w:r w:rsidRPr="0084748E">
            <w:rPr>
              <w:rFonts w:ascii="Arial" w:hAnsi="Arial"/>
              <w:b/>
              <w:color w:val="008000"/>
              <w:sz w:val="14"/>
            </w:rPr>
            <w:t xml:space="preserve">TTY# </w:t>
          </w:r>
          <w:proofErr w:type="spellStart"/>
          <w:r w:rsidRPr="0084748E">
            <w:rPr>
              <w:rFonts w:ascii="Arial" w:hAnsi="Arial"/>
              <w:b/>
              <w:color w:val="008000"/>
              <w:sz w:val="14"/>
            </w:rPr>
            <w:t>MassRelay</w:t>
          </w:r>
          <w:proofErr w:type="spellEnd"/>
          <w:r w:rsidRPr="0084748E">
            <w:rPr>
              <w:rFonts w:ascii="Arial" w:hAnsi="Arial"/>
              <w:b/>
              <w:color w:val="008000"/>
              <w:sz w:val="14"/>
            </w:rPr>
            <w:t xml:space="preserve"> Service 1-800-439-2370</w:t>
          </w:r>
        </w:p>
        <w:p w14:paraId="2BA3D66B" w14:textId="77777777" w:rsidR="00CF1126" w:rsidRPr="000C3209" w:rsidRDefault="00CF1126" w:rsidP="009B49A7">
          <w:pPr>
            <w:ind w:left="-18" w:right="-252"/>
            <w:jc w:val="center"/>
            <w:rPr>
              <w:color w:val="008000"/>
            </w:rPr>
          </w:pPr>
          <w:proofErr w:type="spellStart"/>
          <w:r w:rsidRPr="000C3209">
            <w:rPr>
              <w:rFonts w:ascii="Arial" w:hAnsi="Arial"/>
              <w:color w:val="008000"/>
              <w:sz w:val="14"/>
            </w:rPr>
            <w:t>MassDEP</w:t>
          </w:r>
          <w:proofErr w:type="spellEnd"/>
          <w:r w:rsidRPr="000C3209">
            <w:rPr>
              <w:rFonts w:ascii="Arial" w:hAnsi="Arial"/>
              <w:color w:val="008000"/>
              <w:sz w:val="14"/>
            </w:rPr>
            <w:t xml:space="preserve"> Web</w:t>
          </w:r>
          <w:r>
            <w:rPr>
              <w:rFonts w:ascii="Arial" w:hAnsi="Arial"/>
              <w:color w:val="008000"/>
              <w:sz w:val="14"/>
            </w:rPr>
            <w:t>site</w:t>
          </w:r>
          <w:r w:rsidRPr="000C3209">
            <w:rPr>
              <w:rFonts w:ascii="Arial" w:hAnsi="Arial"/>
              <w:color w:val="008000"/>
              <w:sz w:val="14"/>
            </w:rPr>
            <w:t xml:space="preserve">: </w:t>
          </w:r>
          <w:r>
            <w:rPr>
              <w:rFonts w:ascii="Arial" w:hAnsi="Arial"/>
              <w:color w:val="008000"/>
              <w:sz w:val="14"/>
            </w:rPr>
            <w:t>www.</w:t>
          </w:r>
          <w:r w:rsidRPr="000C3209">
            <w:rPr>
              <w:rFonts w:ascii="Arial" w:hAnsi="Arial"/>
              <w:color w:val="008000"/>
              <w:sz w:val="14"/>
            </w:rPr>
            <w:t>mass.gov/dep</w:t>
          </w:r>
        </w:p>
      </w:tc>
    </w:tr>
    <w:tr w:rsidR="00CF1126" w:rsidRPr="000C3209" w14:paraId="54DEFA6E" w14:textId="77777777" w:rsidTr="009B49A7">
      <w:trPr>
        <w:trHeight w:val="296"/>
        <w:jc w:val="center"/>
      </w:trPr>
      <w:tc>
        <w:tcPr>
          <w:tcW w:w="11520" w:type="dxa"/>
          <w:vAlign w:val="bottom"/>
        </w:tcPr>
        <w:p w14:paraId="1D4400CA" w14:textId="77777777" w:rsidR="00CF1126" w:rsidRPr="000C3209" w:rsidRDefault="00CF1126" w:rsidP="009B49A7">
          <w:pPr>
            <w:ind w:left="-18"/>
            <w:jc w:val="center"/>
            <w:rPr>
              <w:color w:val="008000"/>
            </w:rPr>
          </w:pPr>
          <w:r w:rsidRPr="000C3209">
            <w:rPr>
              <w:rFonts w:ascii="Arial" w:hAnsi="Arial"/>
              <w:color w:val="008000"/>
              <w:position w:val="8"/>
              <w:sz w:val="14"/>
            </w:rPr>
            <w:t>Printed on Recycled Paper</w:t>
          </w:r>
        </w:p>
      </w:tc>
    </w:tr>
  </w:tbl>
  <w:p w14:paraId="093A3EE2" w14:textId="77777777" w:rsidR="00CF1126" w:rsidRDefault="00CF1126" w:rsidP="00DA21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A8C27" w14:textId="77777777" w:rsidR="00CF1126" w:rsidRDefault="00CF1126" w:rsidP="00B419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76B7">
      <w:rPr>
        <w:rStyle w:val="PageNumber"/>
        <w:noProof/>
      </w:rPr>
      <w:t>8</w:t>
    </w:r>
    <w:r>
      <w:rPr>
        <w:rStyle w:val="PageNumber"/>
      </w:rPr>
      <w:fldChar w:fldCharType="end"/>
    </w:r>
  </w:p>
  <w:p w14:paraId="552FA90E" w14:textId="77777777" w:rsidR="00CF1126" w:rsidRDefault="00CF1126" w:rsidP="001B57D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042089"/>
      <w:docPartObj>
        <w:docPartGallery w:val="Page Numbers (Bottom of Page)"/>
        <w:docPartUnique/>
      </w:docPartObj>
    </w:sdtPr>
    <w:sdtEndPr>
      <w:rPr>
        <w:noProof/>
      </w:rPr>
    </w:sdtEndPr>
    <w:sdtContent>
      <w:p w14:paraId="1859C08A" w14:textId="77777777" w:rsidR="00CF1126" w:rsidRDefault="00CF1126">
        <w:pPr>
          <w:pStyle w:val="Footer"/>
          <w:jc w:val="center"/>
        </w:pPr>
        <w:r>
          <w:fldChar w:fldCharType="begin"/>
        </w:r>
        <w:r>
          <w:instrText xml:space="preserve"> PAGE   \* MERGEFORMAT </w:instrText>
        </w:r>
        <w:r>
          <w:fldChar w:fldCharType="separate"/>
        </w:r>
        <w:r w:rsidR="003A76B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19CD1" w14:textId="77777777" w:rsidR="00764FAE" w:rsidRDefault="00764FAE">
      <w:r>
        <w:separator/>
      </w:r>
    </w:p>
  </w:footnote>
  <w:footnote w:type="continuationSeparator" w:id="0">
    <w:p w14:paraId="7BF23A2C" w14:textId="77777777" w:rsidR="00764FAE" w:rsidRDefault="00764FAE">
      <w:r>
        <w:continuationSeparator/>
      </w:r>
    </w:p>
  </w:footnote>
  <w:footnote w:id="1">
    <w:p w14:paraId="135B8295" w14:textId="12DFE542" w:rsidR="00133A67" w:rsidRDefault="00133A67" w:rsidP="00293511">
      <w:pPr>
        <w:pStyle w:val="FootnoteText"/>
      </w:pPr>
      <w:r>
        <w:rPr>
          <w:rStyle w:val="FootnoteReference"/>
        </w:rPr>
        <w:footnoteRef/>
      </w:r>
      <w:r>
        <w:t xml:space="preserve"> </w:t>
      </w:r>
      <w:r>
        <w:rPr>
          <w:sz w:val="18"/>
          <w:szCs w:val="18"/>
        </w:rPr>
        <w:t>The methodology used to calculate No Known Outcome was changed for 2019 due to new guidance from EPA.</w:t>
      </w:r>
    </w:p>
  </w:footnote>
  <w:footnote w:id="2">
    <w:p w14:paraId="38AD4C65" w14:textId="77777777" w:rsidR="00CF1126" w:rsidRDefault="00CF1126" w:rsidP="005E3B9B">
      <w:r>
        <w:rPr>
          <w:rStyle w:val="FootnoteReference"/>
        </w:rPr>
        <w:footnoteRef/>
      </w:r>
      <w:r>
        <w:t xml:space="preserve"> </w:t>
      </w:r>
      <w:r w:rsidRPr="005E3B9B">
        <w:rPr>
          <w:rFonts w:eastAsia="Calibri"/>
          <w:sz w:val="20"/>
          <w:szCs w:val="20"/>
        </w:rPr>
        <w:t xml:space="preserve">40 CFR </w:t>
      </w:r>
      <w:r w:rsidRPr="005E3B9B">
        <w:rPr>
          <w:rFonts w:eastAsia="Calibri"/>
          <w:bCs/>
          <w:sz w:val="20"/>
          <w:szCs w:val="20"/>
        </w:rPr>
        <w:t xml:space="preserve">§ 51.366 </w:t>
      </w:r>
      <w:r w:rsidRPr="005E3B9B">
        <w:rPr>
          <w:rFonts w:eastAsia="Calibri"/>
          <w:sz w:val="20"/>
          <w:szCs w:val="20"/>
        </w:rP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6EC3B" w14:textId="7FC7F4E9" w:rsidR="00CF1126" w:rsidRDefault="00CF1126">
    <w:pPr>
      <w:pStyle w:val="Header"/>
    </w:pPr>
    <w:r>
      <w:t>201</w:t>
    </w:r>
    <w:r w:rsidR="008B5756">
      <w:t>8</w:t>
    </w:r>
    <w:r>
      <w:t>-201</w:t>
    </w:r>
    <w:r w:rsidR="008B5756">
      <w:t>9</w:t>
    </w:r>
    <w:r>
      <w:t xml:space="preserve"> Biennial Report</w:t>
    </w:r>
    <w:r>
      <w:tab/>
    </w:r>
    <w:r>
      <w:tab/>
    </w:r>
    <w:r w:rsidR="003A76B7">
      <w:t>September 16</w:t>
    </w:r>
    <w:r>
      <w:t>, 20</w:t>
    </w:r>
    <w:r w:rsidR="008B5756">
      <w:t>20</w:t>
    </w:r>
  </w:p>
  <w:p w14:paraId="04C1620A" w14:textId="77777777" w:rsidR="00CF1126" w:rsidRDefault="00CF1126">
    <w:pPr>
      <w:pStyle w:val="Header"/>
    </w:pPr>
    <w:r>
      <w:t>Massachusetts Inspection and Maintenance Program</w:t>
    </w:r>
  </w:p>
  <w:p w14:paraId="09DABB81" w14:textId="77777777" w:rsidR="00CF1126" w:rsidRDefault="00CF1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9200"/>
    </w:tblGrid>
    <w:tr w:rsidR="00CF1126" w14:paraId="3C060B24" w14:textId="77777777" w:rsidTr="009B49A7">
      <w:trPr>
        <w:trHeight w:hRule="exact" w:val="1380"/>
        <w:jc w:val="center"/>
      </w:trPr>
      <w:tc>
        <w:tcPr>
          <w:tcW w:w="1620" w:type="dxa"/>
          <w:vMerge w:val="restart"/>
          <w:tcBorders>
            <w:top w:val="nil"/>
            <w:left w:val="nil"/>
            <w:right w:val="nil"/>
          </w:tcBorders>
        </w:tcPr>
        <w:p w14:paraId="19CB47EA" w14:textId="77777777" w:rsidR="00CF1126" w:rsidRDefault="00CF1126" w:rsidP="00DA217C">
          <w:pPr>
            <w:pStyle w:val="Header"/>
            <w:jc w:val="both"/>
          </w:pPr>
          <w:r>
            <w:rPr>
              <w:noProof/>
            </w:rPr>
            <w:drawing>
              <wp:inline distT="0" distB="0" distL="0" distR="0" wp14:anchorId="2FC44AD0" wp14:editId="1876D0B3">
                <wp:extent cx="862965" cy="1111885"/>
                <wp:effectExtent l="19050" t="0" r="0" b="0"/>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862965" cy="1111885"/>
                        </a:xfrm>
                        <a:prstGeom prst="rect">
                          <a:avLst/>
                        </a:prstGeom>
                        <a:noFill/>
                        <a:ln w="9525">
                          <a:noFill/>
                          <a:miter lim="800000"/>
                          <a:headEnd/>
                          <a:tailEnd/>
                        </a:ln>
                      </pic:spPr>
                    </pic:pic>
                  </a:graphicData>
                </a:graphic>
              </wp:inline>
            </w:drawing>
          </w:r>
        </w:p>
      </w:tc>
      <w:tc>
        <w:tcPr>
          <w:tcW w:w="9200" w:type="dxa"/>
          <w:tcBorders>
            <w:top w:val="nil"/>
            <w:left w:val="nil"/>
            <w:bottom w:val="nil"/>
            <w:right w:val="nil"/>
          </w:tcBorders>
          <w:tcMar>
            <w:left w:w="0" w:type="dxa"/>
          </w:tcMar>
        </w:tcPr>
        <w:p w14:paraId="2692AA89" w14:textId="77777777" w:rsidR="00CF1126" w:rsidRDefault="00CF1126" w:rsidP="00DA217C">
          <w:pPr>
            <w:pStyle w:val="Header"/>
          </w:pPr>
          <w:r>
            <w:rPr>
              <w:noProof/>
            </w:rPr>
            <w:drawing>
              <wp:inline distT="0" distB="0" distL="0" distR="0" wp14:anchorId="21313347" wp14:editId="7788F2DF">
                <wp:extent cx="5837555" cy="855980"/>
                <wp:effectExtent l="19050" t="0" r="0" b="0"/>
                <wp:docPr id="5" name="Picture 10"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2"/>
                        <a:srcRect/>
                        <a:stretch>
                          <a:fillRect/>
                        </a:stretch>
                      </pic:blipFill>
                      <pic:spPr bwMode="auto">
                        <a:xfrm>
                          <a:off x="0" y="0"/>
                          <a:ext cx="5837555" cy="855980"/>
                        </a:xfrm>
                        <a:prstGeom prst="rect">
                          <a:avLst/>
                        </a:prstGeom>
                        <a:noFill/>
                        <a:ln w="9525">
                          <a:noFill/>
                          <a:miter lim="800000"/>
                          <a:headEnd/>
                          <a:tailEnd/>
                        </a:ln>
                      </pic:spPr>
                    </pic:pic>
                  </a:graphicData>
                </a:graphic>
              </wp:inline>
            </w:drawing>
          </w:r>
        </w:p>
        <w:p w14:paraId="63A50B08" w14:textId="77777777" w:rsidR="00CF1126" w:rsidRDefault="00CF1126" w:rsidP="00DA217C">
          <w:pPr>
            <w:pStyle w:val="Header"/>
          </w:pPr>
        </w:p>
        <w:p w14:paraId="4DA513C3" w14:textId="77777777" w:rsidR="00CF1126" w:rsidRDefault="00CF1126" w:rsidP="00DA217C"/>
        <w:p w14:paraId="50F40238" w14:textId="77777777" w:rsidR="00CF1126" w:rsidRPr="001A50BD" w:rsidRDefault="00CF1126" w:rsidP="00DA217C">
          <w:pPr>
            <w:tabs>
              <w:tab w:val="left" w:pos="1868"/>
            </w:tabs>
          </w:pPr>
        </w:p>
      </w:tc>
    </w:tr>
    <w:tr w:rsidR="00CF1126" w14:paraId="31580FD2" w14:textId="77777777" w:rsidTr="009B49A7">
      <w:trPr>
        <w:trHeight w:hRule="exact" w:val="600"/>
        <w:jc w:val="center"/>
      </w:trPr>
      <w:tc>
        <w:tcPr>
          <w:tcW w:w="1620" w:type="dxa"/>
          <w:vMerge/>
          <w:tcBorders>
            <w:left w:val="nil"/>
            <w:bottom w:val="nil"/>
            <w:right w:val="nil"/>
          </w:tcBorders>
        </w:tcPr>
        <w:p w14:paraId="4EE63407" w14:textId="77777777" w:rsidR="00CF1126" w:rsidRDefault="00CF1126" w:rsidP="00DA217C">
          <w:pPr>
            <w:pStyle w:val="Header"/>
            <w:jc w:val="both"/>
          </w:pPr>
        </w:p>
      </w:tc>
      <w:tc>
        <w:tcPr>
          <w:tcW w:w="9200" w:type="dxa"/>
          <w:tcBorders>
            <w:top w:val="nil"/>
            <w:left w:val="nil"/>
            <w:bottom w:val="nil"/>
            <w:right w:val="nil"/>
          </w:tcBorders>
          <w:tcMar>
            <w:left w:w="140" w:type="dxa"/>
          </w:tcMar>
        </w:tcPr>
        <w:p w14:paraId="7066C31C" w14:textId="77777777" w:rsidR="00CF1126" w:rsidRDefault="00CF1126" w:rsidP="00DA217C">
          <w:pPr>
            <w:pStyle w:val="Header"/>
            <w:ind w:left="-120"/>
          </w:pPr>
          <w:bookmarkStart w:id="1" w:name="Office"/>
          <w:bookmarkEnd w:id="1"/>
          <w:r>
            <w:rPr>
              <w:noProof/>
            </w:rPr>
            <w:drawing>
              <wp:inline distT="0" distB="0" distL="0" distR="0" wp14:anchorId="5BDA4B2C" wp14:editId="6082C20E">
                <wp:extent cx="3380105" cy="170815"/>
                <wp:effectExtent l="19050" t="0" r="0" b="0"/>
                <wp:docPr id="1" name="Picture 4" descr="Y:\Web_Share\Letterhead 10\boston_addr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Web_Share\Letterhead 10\boston_address.bmp"/>
                        <pic:cNvPicPr>
                          <a:picLocks noChangeAspect="1" noChangeArrowheads="1"/>
                        </pic:cNvPicPr>
                      </pic:nvPicPr>
                      <pic:blipFill>
                        <a:blip r:embed="rId3"/>
                        <a:srcRect/>
                        <a:stretch>
                          <a:fillRect/>
                        </a:stretch>
                      </pic:blipFill>
                      <pic:spPr bwMode="auto">
                        <a:xfrm>
                          <a:off x="0" y="0"/>
                          <a:ext cx="3380105" cy="170815"/>
                        </a:xfrm>
                        <a:prstGeom prst="rect">
                          <a:avLst/>
                        </a:prstGeom>
                        <a:noFill/>
                        <a:ln w="9525">
                          <a:noFill/>
                          <a:miter lim="800000"/>
                          <a:headEnd/>
                          <a:tailEnd/>
                        </a:ln>
                      </pic:spPr>
                    </pic:pic>
                  </a:graphicData>
                </a:graphic>
              </wp:inline>
            </w:drawing>
          </w:r>
        </w:p>
      </w:tc>
    </w:tr>
    <w:tr w:rsidR="00CF1126" w14:paraId="1D1B2EEF" w14:textId="77777777" w:rsidTr="009B49A7">
      <w:trPr>
        <w:trHeight w:val="600"/>
        <w:jc w:val="center"/>
      </w:trPr>
      <w:tc>
        <w:tcPr>
          <w:tcW w:w="1620" w:type="dxa"/>
          <w:tcBorders>
            <w:top w:val="nil"/>
            <w:left w:val="nil"/>
            <w:bottom w:val="nil"/>
            <w:right w:val="nil"/>
          </w:tcBorders>
        </w:tcPr>
        <w:p w14:paraId="1A63AE81" w14:textId="77777777" w:rsidR="00CF1126" w:rsidRDefault="00CF1126" w:rsidP="00DA217C">
          <w:pPr>
            <w:jc w:val="both"/>
            <w:rPr>
              <w:rFonts w:ascii="Arial" w:hAnsi="Arial" w:cs="Arial"/>
              <w:bCs/>
              <w:color w:val="359D6E"/>
              <w:sz w:val="16"/>
              <w:szCs w:val="16"/>
            </w:rPr>
          </w:pPr>
          <w:r>
            <w:rPr>
              <w:rFonts w:ascii="Arial" w:hAnsi="Arial" w:cs="Arial"/>
              <w:color w:val="359D6E"/>
              <w:sz w:val="16"/>
              <w:szCs w:val="16"/>
            </w:rPr>
            <w:t>Charles D. Baker</w:t>
          </w:r>
        </w:p>
        <w:p w14:paraId="7D2A3BB7" w14:textId="77777777" w:rsidR="00CF1126" w:rsidRDefault="00CF1126" w:rsidP="00DA217C">
          <w:pPr>
            <w:rPr>
              <w:rFonts w:ascii="Arial" w:hAnsi="Arial" w:cs="Arial"/>
              <w:color w:val="359D6E"/>
              <w:sz w:val="16"/>
              <w:szCs w:val="16"/>
            </w:rPr>
          </w:pPr>
          <w:r>
            <w:rPr>
              <w:rFonts w:ascii="Arial" w:hAnsi="Arial" w:cs="Arial"/>
              <w:color w:val="359D6E"/>
              <w:sz w:val="16"/>
              <w:szCs w:val="16"/>
            </w:rPr>
            <w:t>Governor</w:t>
          </w:r>
        </w:p>
        <w:p w14:paraId="5841C5CD" w14:textId="77777777" w:rsidR="00CF1126" w:rsidRDefault="00CF1126" w:rsidP="00DA217C">
          <w:pPr>
            <w:rPr>
              <w:rFonts w:ascii="Arial" w:hAnsi="Arial" w:cs="Arial"/>
              <w:color w:val="359D6E"/>
              <w:sz w:val="16"/>
              <w:szCs w:val="16"/>
            </w:rPr>
          </w:pPr>
        </w:p>
        <w:p w14:paraId="6E4E4015" w14:textId="77777777" w:rsidR="00CF1126" w:rsidRDefault="00CF1126" w:rsidP="00DA217C">
          <w:pPr>
            <w:rPr>
              <w:rFonts w:ascii="Arial" w:hAnsi="Arial" w:cs="Arial"/>
              <w:bCs/>
              <w:color w:val="359D6E"/>
              <w:sz w:val="16"/>
              <w:szCs w:val="16"/>
            </w:rPr>
          </w:pPr>
          <w:proofErr w:type="spellStart"/>
          <w:r>
            <w:rPr>
              <w:rFonts w:ascii="Arial" w:hAnsi="Arial" w:cs="Arial"/>
              <w:bCs/>
              <w:color w:val="359D6E"/>
              <w:sz w:val="16"/>
              <w:szCs w:val="16"/>
            </w:rPr>
            <w:t>Karyn</w:t>
          </w:r>
          <w:proofErr w:type="spellEnd"/>
          <w:r>
            <w:rPr>
              <w:rFonts w:ascii="Arial" w:hAnsi="Arial" w:cs="Arial"/>
              <w:bCs/>
              <w:color w:val="359D6E"/>
              <w:sz w:val="16"/>
              <w:szCs w:val="16"/>
            </w:rPr>
            <w:t xml:space="preserve"> E. </w:t>
          </w:r>
          <w:proofErr w:type="spellStart"/>
          <w:r>
            <w:rPr>
              <w:rFonts w:ascii="Arial" w:hAnsi="Arial" w:cs="Arial"/>
              <w:bCs/>
              <w:color w:val="359D6E"/>
              <w:sz w:val="16"/>
              <w:szCs w:val="16"/>
            </w:rPr>
            <w:t>Polito</w:t>
          </w:r>
          <w:proofErr w:type="spellEnd"/>
        </w:p>
        <w:p w14:paraId="4AFD5413" w14:textId="77777777" w:rsidR="00CF1126" w:rsidRDefault="00CF1126" w:rsidP="00DA217C">
          <w:pPr>
            <w:rPr>
              <w:rFonts w:ascii="Arial" w:hAnsi="Arial" w:cs="Arial"/>
              <w:color w:val="359D6E"/>
              <w:sz w:val="16"/>
              <w:szCs w:val="16"/>
            </w:rPr>
          </w:pPr>
          <w:r>
            <w:rPr>
              <w:rFonts w:ascii="Arial" w:hAnsi="Arial" w:cs="Arial"/>
              <w:color w:val="359D6E"/>
              <w:sz w:val="16"/>
              <w:szCs w:val="16"/>
            </w:rPr>
            <w:t>Lieutenant Governor</w:t>
          </w:r>
        </w:p>
        <w:p w14:paraId="738F2CD9" w14:textId="77777777" w:rsidR="00CF1126" w:rsidRDefault="00CF1126" w:rsidP="00DA217C">
          <w:pPr>
            <w:pStyle w:val="Header"/>
          </w:pPr>
        </w:p>
      </w:tc>
      <w:tc>
        <w:tcPr>
          <w:tcW w:w="9200" w:type="dxa"/>
          <w:tcBorders>
            <w:top w:val="nil"/>
            <w:left w:val="nil"/>
            <w:bottom w:val="nil"/>
            <w:right w:val="nil"/>
          </w:tcBorders>
        </w:tcPr>
        <w:p w14:paraId="56B879C4" w14:textId="77777777" w:rsidR="00CF1126" w:rsidRDefault="00CF1126" w:rsidP="00DA217C">
          <w:pPr>
            <w:jc w:val="right"/>
            <w:rPr>
              <w:rFonts w:ascii="Arial" w:hAnsi="Arial" w:cs="Arial"/>
              <w:color w:val="359D6E"/>
              <w:sz w:val="16"/>
              <w:szCs w:val="16"/>
            </w:rPr>
          </w:pPr>
          <w:r>
            <w:rPr>
              <w:rFonts w:ascii="Arial" w:hAnsi="Arial" w:cs="Arial"/>
              <w:color w:val="359D6E"/>
              <w:sz w:val="16"/>
              <w:szCs w:val="16"/>
            </w:rPr>
            <w:t>Matthew A. Beaton</w:t>
          </w:r>
        </w:p>
        <w:p w14:paraId="7E2434A2" w14:textId="77777777" w:rsidR="00CF1126" w:rsidRDefault="00CF1126" w:rsidP="00DA217C">
          <w:pPr>
            <w:jc w:val="right"/>
            <w:rPr>
              <w:rFonts w:ascii="Arial" w:hAnsi="Arial" w:cs="Arial"/>
              <w:color w:val="359D6E"/>
              <w:sz w:val="16"/>
              <w:szCs w:val="16"/>
            </w:rPr>
          </w:pPr>
          <w:r>
            <w:rPr>
              <w:rFonts w:ascii="Arial" w:hAnsi="Arial" w:cs="Arial"/>
              <w:color w:val="359D6E"/>
              <w:sz w:val="16"/>
              <w:szCs w:val="16"/>
            </w:rPr>
            <w:t>Secretary</w:t>
          </w:r>
        </w:p>
        <w:p w14:paraId="4E042249" w14:textId="77777777" w:rsidR="00CF1126" w:rsidRDefault="00CF1126" w:rsidP="00DA217C">
          <w:pPr>
            <w:jc w:val="right"/>
            <w:rPr>
              <w:rFonts w:ascii="Arial" w:hAnsi="Arial" w:cs="Arial"/>
              <w:color w:val="359D6E"/>
              <w:sz w:val="16"/>
              <w:szCs w:val="16"/>
            </w:rPr>
          </w:pPr>
        </w:p>
        <w:p w14:paraId="0FA4390B" w14:textId="77777777" w:rsidR="00CF1126" w:rsidRDefault="00CF1126" w:rsidP="00DA217C">
          <w:pPr>
            <w:jc w:val="right"/>
            <w:rPr>
              <w:rFonts w:ascii="Arial" w:hAnsi="Arial" w:cs="Arial"/>
              <w:bCs/>
              <w:color w:val="359D6E"/>
              <w:sz w:val="16"/>
              <w:szCs w:val="16"/>
            </w:rPr>
          </w:pPr>
          <w:r>
            <w:rPr>
              <w:rFonts w:ascii="Arial" w:hAnsi="Arial" w:cs="Arial"/>
              <w:bCs/>
              <w:color w:val="359D6E"/>
              <w:sz w:val="16"/>
              <w:szCs w:val="16"/>
            </w:rPr>
            <w:t xml:space="preserve">Martin </w:t>
          </w:r>
          <w:proofErr w:type="spellStart"/>
          <w:r>
            <w:rPr>
              <w:rFonts w:ascii="Arial" w:hAnsi="Arial" w:cs="Arial"/>
              <w:bCs/>
              <w:color w:val="359D6E"/>
              <w:sz w:val="16"/>
              <w:szCs w:val="16"/>
            </w:rPr>
            <w:t>Suuberg</w:t>
          </w:r>
          <w:proofErr w:type="spellEnd"/>
        </w:p>
        <w:p w14:paraId="2A2D0B67" w14:textId="77777777" w:rsidR="00CF1126" w:rsidRDefault="00CF1126" w:rsidP="00DA217C">
          <w:pPr>
            <w:pStyle w:val="Header"/>
            <w:ind w:right="10"/>
            <w:jc w:val="right"/>
          </w:pPr>
          <w:r>
            <w:rPr>
              <w:rFonts w:ascii="Arial" w:hAnsi="Arial" w:cs="Arial"/>
              <w:color w:val="359D6E"/>
              <w:sz w:val="16"/>
              <w:szCs w:val="16"/>
            </w:rPr>
            <w:t>Commissioner</w:t>
          </w:r>
        </w:p>
      </w:tc>
    </w:tr>
  </w:tbl>
  <w:p w14:paraId="36E4495D" w14:textId="77777777" w:rsidR="00CF1126" w:rsidRDefault="00CF1126" w:rsidP="00DA217C">
    <w:pPr>
      <w:pStyle w:val="Header"/>
    </w:pPr>
  </w:p>
  <w:p w14:paraId="6EDF33A6" w14:textId="77777777" w:rsidR="00CF1126" w:rsidRDefault="00CF1126" w:rsidP="00DA2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BD8F9" w14:textId="77777777" w:rsidR="00CF1126" w:rsidRPr="001B57DE" w:rsidRDefault="00CF1126" w:rsidP="001B5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6B07"/>
    <w:multiLevelType w:val="hybridMultilevel"/>
    <w:tmpl w:val="54C8FAAE"/>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
    <w:nsid w:val="202A228E"/>
    <w:multiLevelType w:val="hybridMultilevel"/>
    <w:tmpl w:val="BAC2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C7E67"/>
    <w:multiLevelType w:val="hybridMultilevel"/>
    <w:tmpl w:val="9AB0D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33D45"/>
    <w:multiLevelType w:val="hybridMultilevel"/>
    <w:tmpl w:val="7856DC08"/>
    <w:lvl w:ilvl="0" w:tplc="56C8CA2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277AA"/>
    <w:multiLevelType w:val="hybridMultilevel"/>
    <w:tmpl w:val="D58A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66857"/>
    <w:multiLevelType w:val="hybridMultilevel"/>
    <w:tmpl w:val="469E70EA"/>
    <w:lvl w:ilvl="0" w:tplc="7A521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05C26"/>
    <w:multiLevelType w:val="hybridMultilevel"/>
    <w:tmpl w:val="D5FCB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F44AD"/>
    <w:multiLevelType w:val="multilevel"/>
    <w:tmpl w:val="687CC1CA"/>
    <w:lvl w:ilvl="0">
      <w:start w:val="1"/>
      <w:numFmt w:val="upperRoman"/>
      <w:pStyle w:val="Level1"/>
      <w:lvlText w:val="%1."/>
      <w:lvlJc w:val="left"/>
      <w:pPr>
        <w:tabs>
          <w:tab w:val="num" w:pos="576"/>
        </w:tabs>
        <w:ind w:left="576" w:hanging="576"/>
      </w:pPr>
      <w:rPr>
        <w:rFonts w:ascii="Times New Roman" w:hAnsi="Times New Roman" w:hint="default"/>
      </w:rPr>
    </w:lvl>
    <w:lvl w:ilvl="1">
      <w:start w:val="1"/>
      <w:numFmt w:val="upperLetter"/>
      <w:pStyle w:val="Level2"/>
      <w:lvlText w:val="%2."/>
      <w:lvlJc w:val="left"/>
      <w:pPr>
        <w:tabs>
          <w:tab w:val="num" w:pos="720"/>
        </w:tabs>
        <w:ind w:left="720" w:hanging="360"/>
      </w:pPr>
      <w:rPr>
        <w:rFonts w:ascii="Times New Roman" w:hAnsi="Times New Roman" w:hint="default"/>
        <w:effect w:val="none"/>
      </w:rPr>
    </w:lvl>
    <w:lvl w:ilvl="2">
      <w:start w:val="1"/>
      <w:numFmt w:val="decimal"/>
      <w:pStyle w:val="Level3"/>
      <w:lvlText w:val="%3."/>
      <w:lvlJc w:val="left"/>
      <w:pPr>
        <w:tabs>
          <w:tab w:val="num" w:pos="1080"/>
        </w:tabs>
        <w:ind w:left="1080" w:hanging="360"/>
      </w:pPr>
      <w:rPr>
        <w:rFonts w:ascii="Times New Roman" w:hAnsi="Times New Roman" w:hint="default"/>
      </w:rPr>
    </w:lvl>
    <w:lvl w:ilvl="3">
      <w:start w:val="1"/>
      <w:numFmt w:val="lowerLetter"/>
      <w:pStyle w:val="Level4"/>
      <w:lvlText w:val="%4."/>
      <w:lvlJc w:val="left"/>
      <w:pPr>
        <w:tabs>
          <w:tab w:val="num" w:pos="1440"/>
        </w:tabs>
        <w:ind w:left="1440" w:hanging="360"/>
      </w:pPr>
      <w:rPr>
        <w:rFonts w:ascii="Times New Roman" w:hAnsi="Times New Roman" w:hint="default"/>
      </w:rPr>
    </w:lvl>
    <w:lvl w:ilvl="4">
      <w:start w:val="1"/>
      <w:numFmt w:val="lowerRoman"/>
      <w:pStyle w:val="Level5"/>
      <w:lvlText w:val="%5."/>
      <w:lvlJc w:val="left"/>
      <w:pPr>
        <w:tabs>
          <w:tab w:val="num" w:pos="2160"/>
        </w:tabs>
        <w:ind w:left="1800" w:hanging="360"/>
      </w:pPr>
      <w:rPr>
        <w:rFonts w:ascii="Times New Roman" w:hAnsi="Times New Roman" w:hint="default"/>
      </w:rPr>
    </w:lvl>
    <w:lvl w:ilvl="5">
      <w:start w:val="1"/>
      <w:numFmt w:val="upperLetter"/>
      <w:pStyle w:val="Level6"/>
      <w:lvlText w:val="(%6)"/>
      <w:lvlJc w:val="left"/>
      <w:pPr>
        <w:tabs>
          <w:tab w:val="num" w:pos="2160"/>
        </w:tabs>
        <w:ind w:left="2160" w:hanging="360"/>
      </w:pPr>
      <w:rPr>
        <w:rFonts w:ascii="Times New Roman" w:hAnsi="Times New Roman" w:hint="default"/>
      </w:rPr>
    </w:lvl>
    <w:lvl w:ilvl="6">
      <w:start w:val="1"/>
      <w:numFmt w:val="decimal"/>
      <w:pStyle w:val="Level7"/>
      <w:lvlText w:val="(%7)"/>
      <w:lvlJc w:val="left"/>
      <w:pPr>
        <w:tabs>
          <w:tab w:val="num" w:pos="2520"/>
        </w:tabs>
        <w:ind w:left="2520" w:hanging="360"/>
      </w:pPr>
      <w:rPr>
        <w:rFonts w:ascii="Times New Roman" w:hAnsi="Times New Roman" w:hint="default"/>
      </w:rPr>
    </w:lvl>
    <w:lvl w:ilvl="7">
      <w:start w:val="1"/>
      <w:numFmt w:val="lowerLetter"/>
      <w:pStyle w:val="Level8"/>
      <w:lvlText w:val="(%8)"/>
      <w:lvlJc w:val="left"/>
      <w:pPr>
        <w:tabs>
          <w:tab w:val="num" w:pos="2880"/>
        </w:tabs>
        <w:ind w:left="2880" w:hanging="360"/>
      </w:pPr>
      <w:rPr>
        <w:rFonts w:ascii="Times New Roman" w:hAnsi="Times New Roman" w:hint="default"/>
      </w:rPr>
    </w:lvl>
    <w:lvl w:ilvl="8">
      <w:start w:val="1"/>
      <w:numFmt w:val="lowerRoman"/>
      <w:pStyle w:val="Level9"/>
      <w:lvlText w:val="(%9)"/>
      <w:lvlJc w:val="left"/>
      <w:pPr>
        <w:tabs>
          <w:tab w:val="num" w:pos="3600"/>
        </w:tabs>
        <w:ind w:left="3240" w:hanging="360"/>
      </w:pPr>
      <w:rPr>
        <w:rFonts w:ascii="Times New Roman" w:hAnsi="Times New Roman" w:hint="default"/>
      </w:rPr>
    </w:lvl>
  </w:abstractNum>
  <w:abstractNum w:abstractNumId="8">
    <w:nsid w:val="44262408"/>
    <w:multiLevelType w:val="hybridMultilevel"/>
    <w:tmpl w:val="F30EE9C4"/>
    <w:lvl w:ilvl="0" w:tplc="24A8C5B0">
      <w:start w:val="1"/>
      <w:numFmt w:val="decimal"/>
      <w:pStyle w:val="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91C4B"/>
    <w:multiLevelType w:val="hybridMultilevel"/>
    <w:tmpl w:val="53D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52663"/>
    <w:multiLevelType w:val="hybridMultilevel"/>
    <w:tmpl w:val="BD504D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9E5F10"/>
    <w:multiLevelType w:val="hybridMultilevel"/>
    <w:tmpl w:val="6BB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81458"/>
    <w:multiLevelType w:val="hybridMultilevel"/>
    <w:tmpl w:val="78A49FC0"/>
    <w:lvl w:ilvl="0" w:tplc="5694C740">
      <w:start w:val="1"/>
      <w:numFmt w:val="upp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F725818"/>
    <w:multiLevelType w:val="hybridMultilevel"/>
    <w:tmpl w:val="9D3E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BE4D71"/>
    <w:multiLevelType w:val="multilevel"/>
    <w:tmpl w:val="4B4065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AE40D53"/>
    <w:multiLevelType w:val="multilevel"/>
    <w:tmpl w:val="5FC4499C"/>
    <w:lvl w:ilvl="0">
      <w:start w:val="1"/>
      <w:numFmt w:val="decimal"/>
      <w:pStyle w:val="RFRTextNumbered"/>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98C3D17"/>
    <w:multiLevelType w:val="hybridMultilevel"/>
    <w:tmpl w:val="46CA19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7"/>
  </w:num>
  <w:num w:numId="5">
    <w:abstractNumId w:val="8"/>
  </w:num>
  <w:num w:numId="6">
    <w:abstractNumId w:val="1"/>
  </w:num>
  <w:num w:numId="7">
    <w:abstractNumId w:val="13"/>
  </w:num>
  <w:num w:numId="8">
    <w:abstractNumId w:val="4"/>
  </w:num>
  <w:num w:numId="9">
    <w:abstractNumId w:val="2"/>
  </w:num>
  <w:num w:numId="10">
    <w:abstractNumId w:val="11"/>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Formatting/>
  <w:defaultTabStop w:val="720"/>
  <w:drawingGridHorizontalSpacing w:val="187"/>
  <w:drawingGridVerticalSpacing w:val="1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F8"/>
    <w:rsid w:val="00000AF6"/>
    <w:rsid w:val="00002EF4"/>
    <w:rsid w:val="00004C22"/>
    <w:rsid w:val="000066FC"/>
    <w:rsid w:val="00010163"/>
    <w:rsid w:val="00011E37"/>
    <w:rsid w:val="000142A9"/>
    <w:rsid w:val="00025F14"/>
    <w:rsid w:val="00027354"/>
    <w:rsid w:val="00030943"/>
    <w:rsid w:val="000331E2"/>
    <w:rsid w:val="00043222"/>
    <w:rsid w:val="00051FA6"/>
    <w:rsid w:val="00055B70"/>
    <w:rsid w:val="00057B0D"/>
    <w:rsid w:val="00061D76"/>
    <w:rsid w:val="00066118"/>
    <w:rsid w:val="00085A35"/>
    <w:rsid w:val="00091CD3"/>
    <w:rsid w:val="000940EC"/>
    <w:rsid w:val="00094E11"/>
    <w:rsid w:val="00095A5D"/>
    <w:rsid w:val="000A335E"/>
    <w:rsid w:val="000A59BC"/>
    <w:rsid w:val="000B09CD"/>
    <w:rsid w:val="000B7767"/>
    <w:rsid w:val="000C1067"/>
    <w:rsid w:val="000E1528"/>
    <w:rsid w:val="000F2E0F"/>
    <w:rsid w:val="0011224D"/>
    <w:rsid w:val="00114FBE"/>
    <w:rsid w:val="001239CF"/>
    <w:rsid w:val="00130D26"/>
    <w:rsid w:val="00132297"/>
    <w:rsid w:val="00133A67"/>
    <w:rsid w:val="00135A36"/>
    <w:rsid w:val="001379AF"/>
    <w:rsid w:val="001516D1"/>
    <w:rsid w:val="00152E7D"/>
    <w:rsid w:val="001543C5"/>
    <w:rsid w:val="00154DC4"/>
    <w:rsid w:val="00155A67"/>
    <w:rsid w:val="00156BE1"/>
    <w:rsid w:val="00156DC5"/>
    <w:rsid w:val="00156EF6"/>
    <w:rsid w:val="001576F9"/>
    <w:rsid w:val="00160DBB"/>
    <w:rsid w:val="00162008"/>
    <w:rsid w:val="001626F3"/>
    <w:rsid w:val="00162BEE"/>
    <w:rsid w:val="0016470E"/>
    <w:rsid w:val="0016780D"/>
    <w:rsid w:val="00171790"/>
    <w:rsid w:val="00172D29"/>
    <w:rsid w:val="00174131"/>
    <w:rsid w:val="00180705"/>
    <w:rsid w:val="00182FC5"/>
    <w:rsid w:val="00183578"/>
    <w:rsid w:val="00184200"/>
    <w:rsid w:val="0018538C"/>
    <w:rsid w:val="00190031"/>
    <w:rsid w:val="001933A3"/>
    <w:rsid w:val="001A15C8"/>
    <w:rsid w:val="001A1AE8"/>
    <w:rsid w:val="001A2C67"/>
    <w:rsid w:val="001A367F"/>
    <w:rsid w:val="001A74D9"/>
    <w:rsid w:val="001B33E8"/>
    <w:rsid w:val="001B57DE"/>
    <w:rsid w:val="001B629C"/>
    <w:rsid w:val="001B7B95"/>
    <w:rsid w:val="001C0220"/>
    <w:rsid w:val="001C09DC"/>
    <w:rsid w:val="001D3F10"/>
    <w:rsid w:val="001E1CCA"/>
    <w:rsid w:val="001E7D52"/>
    <w:rsid w:val="002035A4"/>
    <w:rsid w:val="0020540C"/>
    <w:rsid w:val="002056BB"/>
    <w:rsid w:val="002062E0"/>
    <w:rsid w:val="0021510C"/>
    <w:rsid w:val="00216400"/>
    <w:rsid w:val="00217130"/>
    <w:rsid w:val="00217A9B"/>
    <w:rsid w:val="00222A38"/>
    <w:rsid w:val="00225390"/>
    <w:rsid w:val="00241407"/>
    <w:rsid w:val="00252311"/>
    <w:rsid w:val="0026594F"/>
    <w:rsid w:val="0027389F"/>
    <w:rsid w:val="00273D48"/>
    <w:rsid w:val="0027596D"/>
    <w:rsid w:val="00276C31"/>
    <w:rsid w:val="002807EA"/>
    <w:rsid w:val="0028085E"/>
    <w:rsid w:val="00280AD3"/>
    <w:rsid w:val="00280CEE"/>
    <w:rsid w:val="0028125B"/>
    <w:rsid w:val="00293511"/>
    <w:rsid w:val="002975D1"/>
    <w:rsid w:val="002A214B"/>
    <w:rsid w:val="002C29D2"/>
    <w:rsid w:val="002C65B1"/>
    <w:rsid w:val="002D560E"/>
    <w:rsid w:val="002D6149"/>
    <w:rsid w:val="002D782E"/>
    <w:rsid w:val="002E47E2"/>
    <w:rsid w:val="002F1407"/>
    <w:rsid w:val="002F5E8E"/>
    <w:rsid w:val="00310F44"/>
    <w:rsid w:val="00317C77"/>
    <w:rsid w:val="003313E6"/>
    <w:rsid w:val="00335971"/>
    <w:rsid w:val="003423CC"/>
    <w:rsid w:val="00345A89"/>
    <w:rsid w:val="003460D8"/>
    <w:rsid w:val="00351E59"/>
    <w:rsid w:val="00351EBB"/>
    <w:rsid w:val="003559B0"/>
    <w:rsid w:val="00364288"/>
    <w:rsid w:val="00366583"/>
    <w:rsid w:val="0037370F"/>
    <w:rsid w:val="00373918"/>
    <w:rsid w:val="00374DCA"/>
    <w:rsid w:val="0037554D"/>
    <w:rsid w:val="003777E6"/>
    <w:rsid w:val="003808F7"/>
    <w:rsid w:val="0038107C"/>
    <w:rsid w:val="00381A2A"/>
    <w:rsid w:val="0039137F"/>
    <w:rsid w:val="00391821"/>
    <w:rsid w:val="00393399"/>
    <w:rsid w:val="00393BE4"/>
    <w:rsid w:val="00395EF5"/>
    <w:rsid w:val="003A47EE"/>
    <w:rsid w:val="003A4D1B"/>
    <w:rsid w:val="003A57FF"/>
    <w:rsid w:val="003A5D86"/>
    <w:rsid w:val="003A63B8"/>
    <w:rsid w:val="003A6FF0"/>
    <w:rsid w:val="003A7103"/>
    <w:rsid w:val="003A76B7"/>
    <w:rsid w:val="003B01AB"/>
    <w:rsid w:val="003B3920"/>
    <w:rsid w:val="003B7BD4"/>
    <w:rsid w:val="003D4790"/>
    <w:rsid w:val="003E36E5"/>
    <w:rsid w:val="003E5500"/>
    <w:rsid w:val="00402EF5"/>
    <w:rsid w:val="00407E27"/>
    <w:rsid w:val="004107BF"/>
    <w:rsid w:val="00410837"/>
    <w:rsid w:val="00411F8C"/>
    <w:rsid w:val="00417366"/>
    <w:rsid w:val="00431120"/>
    <w:rsid w:val="00435207"/>
    <w:rsid w:val="00436902"/>
    <w:rsid w:val="004375E0"/>
    <w:rsid w:val="00453AFC"/>
    <w:rsid w:val="00454062"/>
    <w:rsid w:val="0045530A"/>
    <w:rsid w:val="0045589B"/>
    <w:rsid w:val="0045692B"/>
    <w:rsid w:val="00456AAA"/>
    <w:rsid w:val="00460BD9"/>
    <w:rsid w:val="004649BF"/>
    <w:rsid w:val="00464F37"/>
    <w:rsid w:val="004675E6"/>
    <w:rsid w:val="004754BE"/>
    <w:rsid w:val="00476E5B"/>
    <w:rsid w:val="00480532"/>
    <w:rsid w:val="00480BD8"/>
    <w:rsid w:val="00482800"/>
    <w:rsid w:val="00483245"/>
    <w:rsid w:val="00490C17"/>
    <w:rsid w:val="00492A95"/>
    <w:rsid w:val="00495A82"/>
    <w:rsid w:val="004A23B3"/>
    <w:rsid w:val="004A5254"/>
    <w:rsid w:val="004A69E3"/>
    <w:rsid w:val="004B06A4"/>
    <w:rsid w:val="004C26AD"/>
    <w:rsid w:val="004C34B8"/>
    <w:rsid w:val="004C5482"/>
    <w:rsid w:val="004E22AA"/>
    <w:rsid w:val="004E3ABB"/>
    <w:rsid w:val="004E7AD2"/>
    <w:rsid w:val="004F6D3C"/>
    <w:rsid w:val="00500B2F"/>
    <w:rsid w:val="00505DA1"/>
    <w:rsid w:val="00516C29"/>
    <w:rsid w:val="00522AAF"/>
    <w:rsid w:val="005258FB"/>
    <w:rsid w:val="0052595F"/>
    <w:rsid w:val="00525D98"/>
    <w:rsid w:val="00526F7D"/>
    <w:rsid w:val="00535D9C"/>
    <w:rsid w:val="00536B4B"/>
    <w:rsid w:val="005401D1"/>
    <w:rsid w:val="00543C14"/>
    <w:rsid w:val="00550F06"/>
    <w:rsid w:val="005543BE"/>
    <w:rsid w:val="005553FB"/>
    <w:rsid w:val="00561238"/>
    <w:rsid w:val="00585916"/>
    <w:rsid w:val="00586400"/>
    <w:rsid w:val="005967FB"/>
    <w:rsid w:val="005A5672"/>
    <w:rsid w:val="005A6820"/>
    <w:rsid w:val="005A78ED"/>
    <w:rsid w:val="005B6F2C"/>
    <w:rsid w:val="005C01D9"/>
    <w:rsid w:val="005C4DE6"/>
    <w:rsid w:val="005C6D37"/>
    <w:rsid w:val="005C6EA0"/>
    <w:rsid w:val="005C7A5B"/>
    <w:rsid w:val="005D057E"/>
    <w:rsid w:val="005D5C77"/>
    <w:rsid w:val="005E1482"/>
    <w:rsid w:val="005E344F"/>
    <w:rsid w:val="005E3B9B"/>
    <w:rsid w:val="005F06B9"/>
    <w:rsid w:val="005F2F3F"/>
    <w:rsid w:val="00617C8A"/>
    <w:rsid w:val="006227B3"/>
    <w:rsid w:val="00622B56"/>
    <w:rsid w:val="00624032"/>
    <w:rsid w:val="00624751"/>
    <w:rsid w:val="00627BF8"/>
    <w:rsid w:val="00634921"/>
    <w:rsid w:val="00641AAF"/>
    <w:rsid w:val="006437BB"/>
    <w:rsid w:val="006463BD"/>
    <w:rsid w:val="00647291"/>
    <w:rsid w:val="00647621"/>
    <w:rsid w:val="00647C4C"/>
    <w:rsid w:val="00664716"/>
    <w:rsid w:val="00664AD4"/>
    <w:rsid w:val="00665277"/>
    <w:rsid w:val="00665A16"/>
    <w:rsid w:val="00671FE2"/>
    <w:rsid w:val="006722AC"/>
    <w:rsid w:val="00674AC5"/>
    <w:rsid w:val="006803CD"/>
    <w:rsid w:val="00680911"/>
    <w:rsid w:val="006809F5"/>
    <w:rsid w:val="00684396"/>
    <w:rsid w:val="00684C4C"/>
    <w:rsid w:val="00686686"/>
    <w:rsid w:val="00687F1A"/>
    <w:rsid w:val="00691024"/>
    <w:rsid w:val="00696972"/>
    <w:rsid w:val="00696ABF"/>
    <w:rsid w:val="006A0669"/>
    <w:rsid w:val="006A279A"/>
    <w:rsid w:val="006A4CD1"/>
    <w:rsid w:val="006B4DA5"/>
    <w:rsid w:val="006C59DD"/>
    <w:rsid w:val="006C689C"/>
    <w:rsid w:val="006D7DFD"/>
    <w:rsid w:val="006E7D5F"/>
    <w:rsid w:val="006F2A90"/>
    <w:rsid w:val="00703A58"/>
    <w:rsid w:val="007041FA"/>
    <w:rsid w:val="0071114C"/>
    <w:rsid w:val="00715914"/>
    <w:rsid w:val="00716E70"/>
    <w:rsid w:val="00720FB3"/>
    <w:rsid w:val="0072160D"/>
    <w:rsid w:val="0072701D"/>
    <w:rsid w:val="00735578"/>
    <w:rsid w:val="0073623E"/>
    <w:rsid w:val="00742742"/>
    <w:rsid w:val="0074333F"/>
    <w:rsid w:val="0074336E"/>
    <w:rsid w:val="0074351E"/>
    <w:rsid w:val="00745213"/>
    <w:rsid w:val="00750152"/>
    <w:rsid w:val="00750645"/>
    <w:rsid w:val="00751DF8"/>
    <w:rsid w:val="00761086"/>
    <w:rsid w:val="00764FAE"/>
    <w:rsid w:val="0076607F"/>
    <w:rsid w:val="007707D9"/>
    <w:rsid w:val="0077122B"/>
    <w:rsid w:val="007752B2"/>
    <w:rsid w:val="00776E80"/>
    <w:rsid w:val="00782DCF"/>
    <w:rsid w:val="0079513D"/>
    <w:rsid w:val="00797AE8"/>
    <w:rsid w:val="007A09D3"/>
    <w:rsid w:val="007A37E1"/>
    <w:rsid w:val="007B0903"/>
    <w:rsid w:val="007B0C48"/>
    <w:rsid w:val="007B30EC"/>
    <w:rsid w:val="007B6340"/>
    <w:rsid w:val="007B797A"/>
    <w:rsid w:val="007C1397"/>
    <w:rsid w:val="007C1A20"/>
    <w:rsid w:val="007C5010"/>
    <w:rsid w:val="007C55AC"/>
    <w:rsid w:val="007D39D9"/>
    <w:rsid w:val="007D61F1"/>
    <w:rsid w:val="007E2742"/>
    <w:rsid w:val="007F0FAF"/>
    <w:rsid w:val="00804C04"/>
    <w:rsid w:val="00805F4E"/>
    <w:rsid w:val="0080683C"/>
    <w:rsid w:val="00807B4A"/>
    <w:rsid w:val="00810944"/>
    <w:rsid w:val="00811317"/>
    <w:rsid w:val="00812567"/>
    <w:rsid w:val="008137FF"/>
    <w:rsid w:val="00815D7A"/>
    <w:rsid w:val="00816336"/>
    <w:rsid w:val="00816939"/>
    <w:rsid w:val="00817676"/>
    <w:rsid w:val="00820050"/>
    <w:rsid w:val="008261CA"/>
    <w:rsid w:val="00833B01"/>
    <w:rsid w:val="0083604E"/>
    <w:rsid w:val="00845335"/>
    <w:rsid w:val="00850358"/>
    <w:rsid w:val="008516B7"/>
    <w:rsid w:val="00867C82"/>
    <w:rsid w:val="00867DBB"/>
    <w:rsid w:val="008743CA"/>
    <w:rsid w:val="00874A5C"/>
    <w:rsid w:val="00880549"/>
    <w:rsid w:val="00883B71"/>
    <w:rsid w:val="00885424"/>
    <w:rsid w:val="008872A8"/>
    <w:rsid w:val="00897716"/>
    <w:rsid w:val="008A0AA5"/>
    <w:rsid w:val="008A21F9"/>
    <w:rsid w:val="008A2E0D"/>
    <w:rsid w:val="008B15B9"/>
    <w:rsid w:val="008B25D7"/>
    <w:rsid w:val="008B53CC"/>
    <w:rsid w:val="008B5756"/>
    <w:rsid w:val="008C3A0D"/>
    <w:rsid w:val="008C697F"/>
    <w:rsid w:val="008C7969"/>
    <w:rsid w:val="008D0B71"/>
    <w:rsid w:val="008D6DE8"/>
    <w:rsid w:val="008E1316"/>
    <w:rsid w:val="008E57C4"/>
    <w:rsid w:val="008F026B"/>
    <w:rsid w:val="008F04AA"/>
    <w:rsid w:val="008F4EF4"/>
    <w:rsid w:val="0090039B"/>
    <w:rsid w:val="00900F68"/>
    <w:rsid w:val="00903D78"/>
    <w:rsid w:val="00904288"/>
    <w:rsid w:val="00911C26"/>
    <w:rsid w:val="009132C5"/>
    <w:rsid w:val="00913721"/>
    <w:rsid w:val="00915E61"/>
    <w:rsid w:val="009240EC"/>
    <w:rsid w:val="00924D6E"/>
    <w:rsid w:val="00924F97"/>
    <w:rsid w:val="009265CA"/>
    <w:rsid w:val="009310DD"/>
    <w:rsid w:val="00934A59"/>
    <w:rsid w:val="00935C3A"/>
    <w:rsid w:val="00937B15"/>
    <w:rsid w:val="009411DD"/>
    <w:rsid w:val="009444CD"/>
    <w:rsid w:val="00944555"/>
    <w:rsid w:val="00946433"/>
    <w:rsid w:val="0094745F"/>
    <w:rsid w:val="0095175E"/>
    <w:rsid w:val="00953717"/>
    <w:rsid w:val="00965465"/>
    <w:rsid w:val="00970B43"/>
    <w:rsid w:val="009715B9"/>
    <w:rsid w:val="009720EB"/>
    <w:rsid w:val="00976079"/>
    <w:rsid w:val="00981947"/>
    <w:rsid w:val="00982795"/>
    <w:rsid w:val="00985B55"/>
    <w:rsid w:val="00992206"/>
    <w:rsid w:val="00997365"/>
    <w:rsid w:val="009A08EB"/>
    <w:rsid w:val="009A5D4F"/>
    <w:rsid w:val="009B48C3"/>
    <w:rsid w:val="009B49A7"/>
    <w:rsid w:val="009B6D33"/>
    <w:rsid w:val="009C3917"/>
    <w:rsid w:val="009C4A44"/>
    <w:rsid w:val="009C4F97"/>
    <w:rsid w:val="009C5557"/>
    <w:rsid w:val="009D1309"/>
    <w:rsid w:val="009D5E96"/>
    <w:rsid w:val="009D6256"/>
    <w:rsid w:val="009D7552"/>
    <w:rsid w:val="009D7EEF"/>
    <w:rsid w:val="009F29EC"/>
    <w:rsid w:val="009F64C7"/>
    <w:rsid w:val="00A01A03"/>
    <w:rsid w:val="00A02494"/>
    <w:rsid w:val="00A031AD"/>
    <w:rsid w:val="00A04E83"/>
    <w:rsid w:val="00A070D8"/>
    <w:rsid w:val="00A112D6"/>
    <w:rsid w:val="00A15243"/>
    <w:rsid w:val="00A3035A"/>
    <w:rsid w:val="00A32191"/>
    <w:rsid w:val="00A331D4"/>
    <w:rsid w:val="00A36493"/>
    <w:rsid w:val="00A36F6C"/>
    <w:rsid w:val="00A411A6"/>
    <w:rsid w:val="00A4686D"/>
    <w:rsid w:val="00A52998"/>
    <w:rsid w:val="00A53B24"/>
    <w:rsid w:val="00A55600"/>
    <w:rsid w:val="00A57128"/>
    <w:rsid w:val="00A677A7"/>
    <w:rsid w:val="00A728C5"/>
    <w:rsid w:val="00A76835"/>
    <w:rsid w:val="00A82E53"/>
    <w:rsid w:val="00A878A0"/>
    <w:rsid w:val="00A9064C"/>
    <w:rsid w:val="00A9323D"/>
    <w:rsid w:val="00A93689"/>
    <w:rsid w:val="00AA06C0"/>
    <w:rsid w:val="00AA18D6"/>
    <w:rsid w:val="00AB1E60"/>
    <w:rsid w:val="00AB2636"/>
    <w:rsid w:val="00AC67D7"/>
    <w:rsid w:val="00AD147F"/>
    <w:rsid w:val="00AD204B"/>
    <w:rsid w:val="00AD2179"/>
    <w:rsid w:val="00AD22C2"/>
    <w:rsid w:val="00AD3EA2"/>
    <w:rsid w:val="00AE153C"/>
    <w:rsid w:val="00AF15BB"/>
    <w:rsid w:val="00AF66BA"/>
    <w:rsid w:val="00B17C63"/>
    <w:rsid w:val="00B20FAA"/>
    <w:rsid w:val="00B22E0D"/>
    <w:rsid w:val="00B22E61"/>
    <w:rsid w:val="00B26809"/>
    <w:rsid w:val="00B2774A"/>
    <w:rsid w:val="00B31A16"/>
    <w:rsid w:val="00B320B4"/>
    <w:rsid w:val="00B33500"/>
    <w:rsid w:val="00B366C9"/>
    <w:rsid w:val="00B36B0D"/>
    <w:rsid w:val="00B3729F"/>
    <w:rsid w:val="00B377B7"/>
    <w:rsid w:val="00B4005D"/>
    <w:rsid w:val="00B41967"/>
    <w:rsid w:val="00B425B5"/>
    <w:rsid w:val="00B47F2B"/>
    <w:rsid w:val="00B53E5C"/>
    <w:rsid w:val="00B6310B"/>
    <w:rsid w:val="00B64D12"/>
    <w:rsid w:val="00B7459C"/>
    <w:rsid w:val="00B778D9"/>
    <w:rsid w:val="00B82679"/>
    <w:rsid w:val="00B84895"/>
    <w:rsid w:val="00B90B5C"/>
    <w:rsid w:val="00B9194D"/>
    <w:rsid w:val="00B933DF"/>
    <w:rsid w:val="00B9652F"/>
    <w:rsid w:val="00BA045F"/>
    <w:rsid w:val="00BA4944"/>
    <w:rsid w:val="00BB07DB"/>
    <w:rsid w:val="00BB181C"/>
    <w:rsid w:val="00BC5B20"/>
    <w:rsid w:val="00BC6CEB"/>
    <w:rsid w:val="00BD0C69"/>
    <w:rsid w:val="00BE41DA"/>
    <w:rsid w:val="00BF0215"/>
    <w:rsid w:val="00BF2000"/>
    <w:rsid w:val="00BF4CB7"/>
    <w:rsid w:val="00C026AC"/>
    <w:rsid w:val="00C13332"/>
    <w:rsid w:val="00C2431E"/>
    <w:rsid w:val="00C25062"/>
    <w:rsid w:val="00C3268A"/>
    <w:rsid w:val="00C333ED"/>
    <w:rsid w:val="00C33FF0"/>
    <w:rsid w:val="00C345C2"/>
    <w:rsid w:val="00C361C1"/>
    <w:rsid w:val="00C36AB1"/>
    <w:rsid w:val="00C43331"/>
    <w:rsid w:val="00C55A76"/>
    <w:rsid w:val="00C63F7F"/>
    <w:rsid w:val="00C662E9"/>
    <w:rsid w:val="00C728E1"/>
    <w:rsid w:val="00C73BC6"/>
    <w:rsid w:val="00C80175"/>
    <w:rsid w:val="00C85E5A"/>
    <w:rsid w:val="00C90BE7"/>
    <w:rsid w:val="00C95059"/>
    <w:rsid w:val="00C95733"/>
    <w:rsid w:val="00CA4261"/>
    <w:rsid w:val="00CA56FF"/>
    <w:rsid w:val="00CA6917"/>
    <w:rsid w:val="00CB3B95"/>
    <w:rsid w:val="00CB5E9A"/>
    <w:rsid w:val="00CB68BC"/>
    <w:rsid w:val="00CC0DB4"/>
    <w:rsid w:val="00CD1585"/>
    <w:rsid w:val="00CD4A4B"/>
    <w:rsid w:val="00CE1F95"/>
    <w:rsid w:val="00CE3252"/>
    <w:rsid w:val="00CF1126"/>
    <w:rsid w:val="00CF1666"/>
    <w:rsid w:val="00CF2206"/>
    <w:rsid w:val="00CF72BB"/>
    <w:rsid w:val="00D05B68"/>
    <w:rsid w:val="00D105D9"/>
    <w:rsid w:val="00D12640"/>
    <w:rsid w:val="00D1476E"/>
    <w:rsid w:val="00D178B9"/>
    <w:rsid w:val="00D20FB9"/>
    <w:rsid w:val="00D2158D"/>
    <w:rsid w:val="00D279DD"/>
    <w:rsid w:val="00D33E9D"/>
    <w:rsid w:val="00D351B7"/>
    <w:rsid w:val="00D505E9"/>
    <w:rsid w:val="00D55E8E"/>
    <w:rsid w:val="00D56405"/>
    <w:rsid w:val="00D6724D"/>
    <w:rsid w:val="00D758F6"/>
    <w:rsid w:val="00D8427D"/>
    <w:rsid w:val="00D87177"/>
    <w:rsid w:val="00D94B58"/>
    <w:rsid w:val="00D95D29"/>
    <w:rsid w:val="00DA217C"/>
    <w:rsid w:val="00DA2CA4"/>
    <w:rsid w:val="00DB160D"/>
    <w:rsid w:val="00DB16D7"/>
    <w:rsid w:val="00DC03D9"/>
    <w:rsid w:val="00DC27FC"/>
    <w:rsid w:val="00DC3C27"/>
    <w:rsid w:val="00DC3CC2"/>
    <w:rsid w:val="00DC49A6"/>
    <w:rsid w:val="00DD0181"/>
    <w:rsid w:val="00DD467E"/>
    <w:rsid w:val="00DE02A3"/>
    <w:rsid w:val="00DE0306"/>
    <w:rsid w:val="00DF000D"/>
    <w:rsid w:val="00DF34CB"/>
    <w:rsid w:val="00DF6615"/>
    <w:rsid w:val="00DF7BA2"/>
    <w:rsid w:val="00DF7F16"/>
    <w:rsid w:val="00E0392F"/>
    <w:rsid w:val="00E04376"/>
    <w:rsid w:val="00E070CB"/>
    <w:rsid w:val="00E12092"/>
    <w:rsid w:val="00E13B4C"/>
    <w:rsid w:val="00E16AF3"/>
    <w:rsid w:val="00E17140"/>
    <w:rsid w:val="00E17E1F"/>
    <w:rsid w:val="00E302EA"/>
    <w:rsid w:val="00E35B4F"/>
    <w:rsid w:val="00E35C7B"/>
    <w:rsid w:val="00E36A64"/>
    <w:rsid w:val="00E37E9E"/>
    <w:rsid w:val="00E41F31"/>
    <w:rsid w:val="00E4303E"/>
    <w:rsid w:val="00E453C9"/>
    <w:rsid w:val="00E5372C"/>
    <w:rsid w:val="00E53C9C"/>
    <w:rsid w:val="00E55A54"/>
    <w:rsid w:val="00E55D14"/>
    <w:rsid w:val="00E633C9"/>
    <w:rsid w:val="00E72CE2"/>
    <w:rsid w:val="00E82024"/>
    <w:rsid w:val="00E84530"/>
    <w:rsid w:val="00E93D26"/>
    <w:rsid w:val="00E94081"/>
    <w:rsid w:val="00E963E3"/>
    <w:rsid w:val="00EA4931"/>
    <w:rsid w:val="00EA685A"/>
    <w:rsid w:val="00EB23FC"/>
    <w:rsid w:val="00EB5241"/>
    <w:rsid w:val="00EC37DB"/>
    <w:rsid w:val="00ED1CC8"/>
    <w:rsid w:val="00ED26D3"/>
    <w:rsid w:val="00ED3398"/>
    <w:rsid w:val="00EE01DB"/>
    <w:rsid w:val="00EE0C3A"/>
    <w:rsid w:val="00EE2FD4"/>
    <w:rsid w:val="00EE38D8"/>
    <w:rsid w:val="00EE758D"/>
    <w:rsid w:val="00F0057D"/>
    <w:rsid w:val="00F01E3E"/>
    <w:rsid w:val="00F036D2"/>
    <w:rsid w:val="00F1018D"/>
    <w:rsid w:val="00F1058E"/>
    <w:rsid w:val="00F1247E"/>
    <w:rsid w:val="00F12707"/>
    <w:rsid w:val="00F1524F"/>
    <w:rsid w:val="00F16D99"/>
    <w:rsid w:val="00F17958"/>
    <w:rsid w:val="00F20146"/>
    <w:rsid w:val="00F21539"/>
    <w:rsid w:val="00F22680"/>
    <w:rsid w:val="00F23086"/>
    <w:rsid w:val="00F24F5D"/>
    <w:rsid w:val="00F40D21"/>
    <w:rsid w:val="00F44458"/>
    <w:rsid w:val="00F4603B"/>
    <w:rsid w:val="00F4719E"/>
    <w:rsid w:val="00F536BB"/>
    <w:rsid w:val="00F55510"/>
    <w:rsid w:val="00F634FA"/>
    <w:rsid w:val="00F6598C"/>
    <w:rsid w:val="00F76673"/>
    <w:rsid w:val="00F7760E"/>
    <w:rsid w:val="00F80916"/>
    <w:rsid w:val="00F8376A"/>
    <w:rsid w:val="00F91733"/>
    <w:rsid w:val="00F93363"/>
    <w:rsid w:val="00FA3C53"/>
    <w:rsid w:val="00FA6074"/>
    <w:rsid w:val="00FA63F1"/>
    <w:rsid w:val="00FA6804"/>
    <w:rsid w:val="00FB3005"/>
    <w:rsid w:val="00FB51EC"/>
    <w:rsid w:val="00FC3E43"/>
    <w:rsid w:val="00FC5B8B"/>
    <w:rsid w:val="00FD2A9A"/>
    <w:rsid w:val="00FD4428"/>
    <w:rsid w:val="00FD4B66"/>
    <w:rsid w:val="00FD696B"/>
    <w:rsid w:val="00FE0EE0"/>
    <w:rsid w:val="00FE4DA6"/>
    <w:rsid w:val="00FE6834"/>
    <w:rsid w:val="00FF6FC0"/>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7E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iPriority="1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70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title">
    <w:name w:val="GRtitle"/>
    <w:basedOn w:val="Normal"/>
    <w:rsid w:val="00C956B9"/>
    <w:pPr>
      <w:tabs>
        <w:tab w:val="left" w:pos="432"/>
      </w:tabs>
    </w:pPr>
    <w:rPr>
      <w:rFonts w:ascii="Arial" w:hAnsi="Arial"/>
      <w:b/>
      <w:noProof/>
      <w:spacing w:val="8"/>
      <w:sz w:val="20"/>
      <w:szCs w:val="20"/>
    </w:rPr>
  </w:style>
  <w:style w:type="paragraph" w:styleId="Title">
    <w:name w:val="Title"/>
    <w:basedOn w:val="Normal"/>
    <w:link w:val="TitleChar"/>
    <w:uiPriority w:val="10"/>
    <w:qFormat/>
    <w:rsid w:val="00C956B9"/>
    <w:pPr>
      <w:jc w:val="center"/>
    </w:pPr>
    <w:rPr>
      <w:b/>
      <w:bCs/>
    </w:rPr>
  </w:style>
  <w:style w:type="paragraph" w:styleId="BodyText2">
    <w:name w:val="Body Text 2"/>
    <w:basedOn w:val="Normal"/>
    <w:rsid w:val="00C956B9"/>
    <w:rPr>
      <w:i/>
      <w:iCs/>
    </w:rPr>
  </w:style>
  <w:style w:type="paragraph" w:customStyle="1" w:styleId="Text">
    <w:name w:val="Text"/>
    <w:basedOn w:val="Normal"/>
    <w:rsid w:val="00970B43"/>
    <w:pPr>
      <w:spacing w:before="240"/>
      <w:jc w:val="both"/>
    </w:pPr>
  </w:style>
  <w:style w:type="character" w:styleId="Hyperlink">
    <w:name w:val="Hyperlink"/>
    <w:basedOn w:val="DefaultParagraphFont"/>
    <w:rsid w:val="00C956B9"/>
    <w:rPr>
      <w:color w:val="0000FF"/>
      <w:u w:val="single"/>
    </w:rPr>
  </w:style>
  <w:style w:type="paragraph" w:styleId="Footer">
    <w:name w:val="footer"/>
    <w:basedOn w:val="Normal"/>
    <w:link w:val="FooterChar"/>
    <w:uiPriority w:val="99"/>
    <w:rsid w:val="00970B43"/>
    <w:pPr>
      <w:tabs>
        <w:tab w:val="center" w:pos="4680"/>
        <w:tab w:val="right" w:pos="9360"/>
      </w:tabs>
    </w:pPr>
  </w:style>
  <w:style w:type="character" w:styleId="PageNumber">
    <w:name w:val="page number"/>
    <w:basedOn w:val="DefaultParagraphFont"/>
    <w:rsid w:val="00C956B9"/>
  </w:style>
  <w:style w:type="paragraph" w:styleId="Header">
    <w:name w:val="header"/>
    <w:basedOn w:val="Normal"/>
    <w:link w:val="HeaderChar"/>
    <w:uiPriority w:val="99"/>
    <w:rsid w:val="00970B43"/>
    <w:pPr>
      <w:tabs>
        <w:tab w:val="center" w:pos="4680"/>
        <w:tab w:val="right" w:pos="9360"/>
      </w:tabs>
    </w:pPr>
  </w:style>
  <w:style w:type="paragraph" w:styleId="FootnoteText">
    <w:name w:val="footnote text"/>
    <w:basedOn w:val="Normal"/>
    <w:link w:val="FootnoteTextChar"/>
    <w:semiHidden/>
    <w:rsid w:val="00C956B9"/>
    <w:rPr>
      <w:sz w:val="20"/>
      <w:szCs w:val="20"/>
    </w:rPr>
  </w:style>
  <w:style w:type="character" w:styleId="FootnoteReference">
    <w:name w:val="footnote reference"/>
    <w:basedOn w:val="DefaultParagraphFont"/>
    <w:semiHidden/>
    <w:rsid w:val="00C956B9"/>
    <w:rPr>
      <w:vertAlign w:val="superscript"/>
    </w:rPr>
  </w:style>
  <w:style w:type="paragraph" w:customStyle="1" w:styleId="xl24">
    <w:name w:val="xl24"/>
    <w:basedOn w:val="Normal"/>
    <w:rsid w:val="00C956B9"/>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styleId="BodyTextIndent">
    <w:name w:val="Body Text Indent"/>
    <w:basedOn w:val="Normal"/>
    <w:rsid w:val="00C956B9"/>
    <w:pPr>
      <w:ind w:left="720"/>
    </w:pPr>
    <w:rPr>
      <w:sz w:val="22"/>
    </w:rPr>
  </w:style>
  <w:style w:type="paragraph" w:styleId="BodyTextIndent2">
    <w:name w:val="Body Text Indent 2"/>
    <w:basedOn w:val="Normal"/>
    <w:rsid w:val="00C956B9"/>
    <w:pPr>
      <w:ind w:left="748" w:hanging="28"/>
    </w:pPr>
    <w:rPr>
      <w:bCs/>
    </w:rPr>
  </w:style>
  <w:style w:type="paragraph" w:styleId="BodyTextIndent3">
    <w:name w:val="Body Text Indent 3"/>
    <w:basedOn w:val="Normal"/>
    <w:rsid w:val="00C956B9"/>
    <w:pPr>
      <w:autoSpaceDE w:val="0"/>
      <w:autoSpaceDN w:val="0"/>
      <w:adjustRightInd w:val="0"/>
      <w:ind w:left="748"/>
    </w:pPr>
    <w:rPr>
      <w:sz w:val="22"/>
    </w:rPr>
  </w:style>
  <w:style w:type="paragraph" w:styleId="BalloonText">
    <w:name w:val="Balloon Text"/>
    <w:basedOn w:val="Normal"/>
    <w:semiHidden/>
    <w:rsid w:val="00751DF8"/>
    <w:rPr>
      <w:rFonts w:ascii="Tahoma" w:hAnsi="Tahoma" w:cs="Tahoma"/>
      <w:sz w:val="16"/>
      <w:szCs w:val="16"/>
    </w:rPr>
  </w:style>
  <w:style w:type="character" w:styleId="CommentReference">
    <w:name w:val="annotation reference"/>
    <w:basedOn w:val="DefaultParagraphFont"/>
    <w:rsid w:val="00AB7DE4"/>
    <w:rPr>
      <w:sz w:val="16"/>
      <w:szCs w:val="16"/>
    </w:rPr>
  </w:style>
  <w:style w:type="paragraph" w:styleId="CommentText">
    <w:name w:val="annotation text"/>
    <w:basedOn w:val="Normal"/>
    <w:link w:val="CommentTextChar"/>
    <w:rsid w:val="00AB7DE4"/>
    <w:rPr>
      <w:sz w:val="20"/>
      <w:szCs w:val="20"/>
    </w:rPr>
  </w:style>
  <w:style w:type="character" w:customStyle="1" w:styleId="CommentTextChar">
    <w:name w:val="Comment Text Char"/>
    <w:basedOn w:val="DefaultParagraphFont"/>
    <w:link w:val="CommentText"/>
    <w:rsid w:val="00AB7DE4"/>
  </w:style>
  <w:style w:type="paragraph" w:styleId="CommentSubject">
    <w:name w:val="annotation subject"/>
    <w:basedOn w:val="CommentText"/>
    <w:next w:val="CommentText"/>
    <w:link w:val="CommentSubjectChar"/>
    <w:rsid w:val="00AB7DE4"/>
    <w:rPr>
      <w:b/>
      <w:bCs/>
    </w:rPr>
  </w:style>
  <w:style w:type="character" w:customStyle="1" w:styleId="CommentSubjectChar">
    <w:name w:val="Comment Subject Char"/>
    <w:basedOn w:val="CommentTextChar"/>
    <w:link w:val="CommentSubject"/>
    <w:rsid w:val="00AB7DE4"/>
    <w:rPr>
      <w:b/>
      <w:bCs/>
    </w:rPr>
  </w:style>
  <w:style w:type="character" w:customStyle="1" w:styleId="TitleChar">
    <w:name w:val="Title Char"/>
    <w:basedOn w:val="DefaultParagraphFont"/>
    <w:link w:val="Title"/>
    <w:uiPriority w:val="10"/>
    <w:rsid w:val="0000417E"/>
    <w:rPr>
      <w:b/>
      <w:bCs/>
      <w:sz w:val="24"/>
      <w:szCs w:val="24"/>
    </w:rPr>
  </w:style>
  <w:style w:type="table" w:styleId="TableGrid">
    <w:name w:val="Table Grid"/>
    <w:basedOn w:val="TableNormal"/>
    <w:rsid w:val="000A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3ED"/>
    <w:pPr>
      <w:ind w:left="720"/>
      <w:contextualSpacing/>
    </w:pPr>
  </w:style>
  <w:style w:type="paragraph" w:customStyle="1" w:styleId="RFRtext">
    <w:name w:val="RFRtext"/>
    <w:basedOn w:val="Normal"/>
    <w:rsid w:val="00D05B68"/>
    <w:pPr>
      <w:widowControl w:val="0"/>
      <w:tabs>
        <w:tab w:val="left" w:pos="-720"/>
      </w:tabs>
      <w:spacing w:line="-320" w:lineRule="auto"/>
    </w:pPr>
    <w:rPr>
      <w:szCs w:val="20"/>
    </w:rPr>
  </w:style>
  <w:style w:type="paragraph" w:customStyle="1" w:styleId="RFRTextNumbered">
    <w:name w:val="RFR Text Numbered"/>
    <w:basedOn w:val="RFRtext"/>
    <w:rsid w:val="00D05B68"/>
    <w:pPr>
      <w:widowControl/>
      <w:numPr>
        <w:numId w:val="3"/>
      </w:numPr>
      <w:tabs>
        <w:tab w:val="clear" w:pos="-720"/>
      </w:tabs>
      <w:overflowPunct w:val="0"/>
      <w:autoSpaceDE w:val="0"/>
      <w:autoSpaceDN w:val="0"/>
      <w:adjustRightInd w:val="0"/>
      <w:spacing w:before="240" w:line="240" w:lineRule="auto"/>
      <w:textAlignment w:val="baseline"/>
    </w:pPr>
  </w:style>
  <w:style w:type="paragraph" w:styleId="NormalWeb">
    <w:name w:val="Normal (Web)"/>
    <w:basedOn w:val="Normal"/>
    <w:rsid w:val="00D105D9"/>
  </w:style>
  <w:style w:type="paragraph" w:customStyle="1" w:styleId="Heading">
    <w:name w:val="Heading"/>
    <w:basedOn w:val="Text"/>
    <w:next w:val="Text"/>
    <w:rsid w:val="006C689C"/>
    <w:pPr>
      <w:keepNext/>
      <w:keepLines/>
      <w:numPr>
        <w:numId w:val="5"/>
      </w:numPr>
      <w:spacing w:before="360" w:after="60"/>
      <w:ind w:left="360"/>
      <w:jc w:val="left"/>
    </w:pPr>
    <w:rPr>
      <w:b/>
      <w:szCs w:val="20"/>
      <w:u w:val="single"/>
    </w:rPr>
  </w:style>
  <w:style w:type="paragraph" w:customStyle="1" w:styleId="Level1">
    <w:name w:val="Level 1"/>
    <w:basedOn w:val="Normal"/>
    <w:rsid w:val="00970B43"/>
    <w:pPr>
      <w:keepNext/>
      <w:numPr>
        <w:numId w:val="4"/>
      </w:numPr>
      <w:spacing w:before="240" w:after="60"/>
      <w:outlineLvl w:val="0"/>
    </w:pPr>
    <w:rPr>
      <w:rFonts w:ascii="Footlight MT Light" w:hAnsi="Footlight MT Light"/>
      <w:b/>
      <w:smallCaps/>
      <w:sz w:val="28"/>
      <w:szCs w:val="20"/>
    </w:rPr>
  </w:style>
  <w:style w:type="paragraph" w:customStyle="1" w:styleId="Level2">
    <w:name w:val="Level 2"/>
    <w:basedOn w:val="Normal"/>
    <w:rsid w:val="00970B43"/>
    <w:pPr>
      <w:numPr>
        <w:ilvl w:val="1"/>
        <w:numId w:val="4"/>
      </w:numPr>
      <w:tabs>
        <w:tab w:val="left" w:pos="3060"/>
      </w:tabs>
      <w:spacing w:before="120"/>
      <w:outlineLvl w:val="1"/>
    </w:pPr>
    <w:rPr>
      <w:szCs w:val="20"/>
    </w:rPr>
  </w:style>
  <w:style w:type="paragraph" w:customStyle="1" w:styleId="Level3">
    <w:name w:val="Level 3"/>
    <w:basedOn w:val="Normal"/>
    <w:rsid w:val="00C90BE7"/>
    <w:pPr>
      <w:numPr>
        <w:ilvl w:val="2"/>
        <w:numId w:val="4"/>
      </w:numPr>
      <w:spacing w:before="60"/>
      <w:ind w:left="2160"/>
      <w:outlineLvl w:val="2"/>
    </w:pPr>
    <w:rPr>
      <w:szCs w:val="20"/>
    </w:rPr>
  </w:style>
  <w:style w:type="paragraph" w:customStyle="1" w:styleId="Level4">
    <w:name w:val="Level 4"/>
    <w:basedOn w:val="Normal"/>
    <w:rsid w:val="00970B43"/>
    <w:pPr>
      <w:numPr>
        <w:ilvl w:val="3"/>
        <w:numId w:val="4"/>
      </w:numPr>
      <w:spacing w:before="60"/>
      <w:outlineLvl w:val="3"/>
    </w:pPr>
    <w:rPr>
      <w:szCs w:val="20"/>
    </w:rPr>
  </w:style>
  <w:style w:type="paragraph" w:customStyle="1" w:styleId="Level5">
    <w:name w:val="Level 5"/>
    <w:basedOn w:val="Normal"/>
    <w:rsid w:val="00970B43"/>
    <w:pPr>
      <w:numPr>
        <w:ilvl w:val="4"/>
        <w:numId w:val="4"/>
      </w:numPr>
      <w:tabs>
        <w:tab w:val="left" w:pos="1800"/>
      </w:tabs>
      <w:spacing w:before="60"/>
      <w:outlineLvl w:val="4"/>
    </w:pPr>
    <w:rPr>
      <w:szCs w:val="20"/>
    </w:rPr>
  </w:style>
  <w:style w:type="paragraph" w:customStyle="1" w:styleId="Level6">
    <w:name w:val="Level 6"/>
    <w:basedOn w:val="Normal"/>
    <w:rsid w:val="00970B43"/>
    <w:pPr>
      <w:numPr>
        <w:ilvl w:val="5"/>
        <w:numId w:val="4"/>
      </w:numPr>
      <w:spacing w:before="60"/>
      <w:outlineLvl w:val="5"/>
    </w:pPr>
    <w:rPr>
      <w:szCs w:val="20"/>
    </w:rPr>
  </w:style>
  <w:style w:type="paragraph" w:customStyle="1" w:styleId="Level7">
    <w:name w:val="Level 7"/>
    <w:basedOn w:val="Normal"/>
    <w:rsid w:val="00970B43"/>
    <w:pPr>
      <w:numPr>
        <w:ilvl w:val="6"/>
        <w:numId w:val="4"/>
      </w:numPr>
      <w:outlineLvl w:val="6"/>
    </w:pPr>
    <w:rPr>
      <w:szCs w:val="20"/>
    </w:rPr>
  </w:style>
  <w:style w:type="paragraph" w:customStyle="1" w:styleId="Level8">
    <w:name w:val="Level 8"/>
    <w:basedOn w:val="Normal"/>
    <w:rsid w:val="00970B43"/>
    <w:pPr>
      <w:numPr>
        <w:ilvl w:val="7"/>
        <w:numId w:val="4"/>
      </w:numPr>
      <w:outlineLvl w:val="7"/>
    </w:pPr>
    <w:rPr>
      <w:szCs w:val="20"/>
    </w:rPr>
  </w:style>
  <w:style w:type="paragraph" w:customStyle="1" w:styleId="Level9">
    <w:name w:val="Level 9"/>
    <w:basedOn w:val="Normal"/>
    <w:rsid w:val="00970B43"/>
    <w:pPr>
      <w:numPr>
        <w:ilvl w:val="8"/>
        <w:numId w:val="4"/>
      </w:numPr>
      <w:outlineLvl w:val="8"/>
    </w:pPr>
    <w:rPr>
      <w:szCs w:val="20"/>
    </w:rPr>
  </w:style>
  <w:style w:type="paragraph" w:styleId="Quote">
    <w:name w:val="Quote"/>
    <w:basedOn w:val="Text"/>
    <w:next w:val="Text"/>
    <w:link w:val="QuoteChar"/>
    <w:qFormat/>
    <w:rsid w:val="00970B43"/>
    <w:pPr>
      <w:spacing w:before="180"/>
      <w:ind w:left="360" w:right="360"/>
    </w:pPr>
  </w:style>
  <w:style w:type="character" w:customStyle="1" w:styleId="QuoteChar">
    <w:name w:val="Quote Char"/>
    <w:basedOn w:val="DefaultParagraphFont"/>
    <w:link w:val="Quote"/>
    <w:rsid w:val="00970B43"/>
    <w:rPr>
      <w:sz w:val="24"/>
      <w:szCs w:val="24"/>
    </w:rPr>
  </w:style>
  <w:style w:type="paragraph" w:customStyle="1" w:styleId="Subheading">
    <w:name w:val="Subheading"/>
    <w:basedOn w:val="Text"/>
    <w:next w:val="Text"/>
    <w:rsid w:val="00970B43"/>
    <w:pPr>
      <w:keepNext/>
      <w:keepLines/>
      <w:suppressAutoHyphens/>
      <w:spacing w:after="60"/>
    </w:pPr>
    <w:rPr>
      <w:b/>
      <w:szCs w:val="20"/>
      <w:u w:val="single"/>
    </w:rPr>
  </w:style>
  <w:style w:type="paragraph" w:customStyle="1" w:styleId="Table">
    <w:name w:val="Table"/>
    <w:basedOn w:val="Normal"/>
    <w:rsid w:val="00970B43"/>
    <w:pPr>
      <w:spacing w:before="80" w:after="80"/>
    </w:pPr>
    <w:rPr>
      <w:szCs w:val="20"/>
    </w:rPr>
  </w:style>
  <w:style w:type="paragraph" w:customStyle="1" w:styleId="TableTitle">
    <w:name w:val="Table Title"/>
    <w:basedOn w:val="Text"/>
    <w:rsid w:val="00970B43"/>
    <w:pPr>
      <w:spacing w:after="120"/>
      <w:jc w:val="center"/>
    </w:pPr>
    <w:rPr>
      <w:b/>
      <w:smallCaps/>
      <w:szCs w:val="20"/>
    </w:rPr>
  </w:style>
  <w:style w:type="character" w:customStyle="1" w:styleId="FooterChar">
    <w:name w:val="Footer Char"/>
    <w:basedOn w:val="DefaultParagraphFont"/>
    <w:link w:val="Footer"/>
    <w:uiPriority w:val="99"/>
    <w:rsid w:val="005E1482"/>
    <w:rPr>
      <w:sz w:val="24"/>
      <w:szCs w:val="24"/>
    </w:rPr>
  </w:style>
  <w:style w:type="character" w:styleId="FollowedHyperlink">
    <w:name w:val="FollowedHyperlink"/>
    <w:basedOn w:val="DefaultParagraphFont"/>
    <w:rsid w:val="00D87177"/>
    <w:rPr>
      <w:color w:val="800080"/>
      <w:u w:val="single"/>
    </w:rPr>
  </w:style>
  <w:style w:type="paragraph" w:styleId="Revision">
    <w:name w:val="Revision"/>
    <w:hidden/>
    <w:uiPriority w:val="71"/>
    <w:rsid w:val="00395EF5"/>
    <w:rPr>
      <w:sz w:val="24"/>
      <w:szCs w:val="24"/>
    </w:rPr>
  </w:style>
  <w:style w:type="character" w:customStyle="1" w:styleId="FootnoteTextChar">
    <w:name w:val="Footnote Text Char"/>
    <w:basedOn w:val="DefaultParagraphFont"/>
    <w:link w:val="FootnoteText"/>
    <w:semiHidden/>
    <w:rsid w:val="00946433"/>
  </w:style>
  <w:style w:type="character" w:customStyle="1" w:styleId="HeaderChar">
    <w:name w:val="Header Char"/>
    <w:basedOn w:val="DefaultParagraphFont"/>
    <w:link w:val="Header"/>
    <w:uiPriority w:val="99"/>
    <w:rsid w:val="0094745F"/>
    <w:rPr>
      <w:sz w:val="24"/>
      <w:szCs w:val="24"/>
    </w:rPr>
  </w:style>
  <w:style w:type="character" w:customStyle="1" w:styleId="UnresolvedMention1">
    <w:name w:val="Unresolved Mention1"/>
    <w:basedOn w:val="DefaultParagraphFont"/>
    <w:uiPriority w:val="99"/>
    <w:unhideWhenUsed/>
    <w:rsid w:val="008D6DE8"/>
    <w:rPr>
      <w:color w:val="605E5C"/>
      <w:shd w:val="clear" w:color="auto" w:fill="E1DFDD"/>
    </w:rPr>
  </w:style>
  <w:style w:type="character" w:customStyle="1" w:styleId="Mention1">
    <w:name w:val="Mention1"/>
    <w:basedOn w:val="DefaultParagraphFont"/>
    <w:uiPriority w:val="99"/>
    <w:unhideWhenUsed/>
    <w:rsid w:val="00000AF6"/>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iPriority="1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70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title">
    <w:name w:val="GRtitle"/>
    <w:basedOn w:val="Normal"/>
    <w:rsid w:val="00C956B9"/>
    <w:pPr>
      <w:tabs>
        <w:tab w:val="left" w:pos="432"/>
      </w:tabs>
    </w:pPr>
    <w:rPr>
      <w:rFonts w:ascii="Arial" w:hAnsi="Arial"/>
      <w:b/>
      <w:noProof/>
      <w:spacing w:val="8"/>
      <w:sz w:val="20"/>
      <w:szCs w:val="20"/>
    </w:rPr>
  </w:style>
  <w:style w:type="paragraph" w:styleId="Title">
    <w:name w:val="Title"/>
    <w:basedOn w:val="Normal"/>
    <w:link w:val="TitleChar"/>
    <w:uiPriority w:val="10"/>
    <w:qFormat/>
    <w:rsid w:val="00C956B9"/>
    <w:pPr>
      <w:jc w:val="center"/>
    </w:pPr>
    <w:rPr>
      <w:b/>
      <w:bCs/>
    </w:rPr>
  </w:style>
  <w:style w:type="paragraph" w:styleId="BodyText2">
    <w:name w:val="Body Text 2"/>
    <w:basedOn w:val="Normal"/>
    <w:rsid w:val="00C956B9"/>
    <w:rPr>
      <w:i/>
      <w:iCs/>
    </w:rPr>
  </w:style>
  <w:style w:type="paragraph" w:customStyle="1" w:styleId="Text">
    <w:name w:val="Text"/>
    <w:basedOn w:val="Normal"/>
    <w:rsid w:val="00970B43"/>
    <w:pPr>
      <w:spacing w:before="240"/>
      <w:jc w:val="both"/>
    </w:pPr>
  </w:style>
  <w:style w:type="character" w:styleId="Hyperlink">
    <w:name w:val="Hyperlink"/>
    <w:basedOn w:val="DefaultParagraphFont"/>
    <w:rsid w:val="00C956B9"/>
    <w:rPr>
      <w:color w:val="0000FF"/>
      <w:u w:val="single"/>
    </w:rPr>
  </w:style>
  <w:style w:type="paragraph" w:styleId="Footer">
    <w:name w:val="footer"/>
    <w:basedOn w:val="Normal"/>
    <w:link w:val="FooterChar"/>
    <w:uiPriority w:val="99"/>
    <w:rsid w:val="00970B43"/>
    <w:pPr>
      <w:tabs>
        <w:tab w:val="center" w:pos="4680"/>
        <w:tab w:val="right" w:pos="9360"/>
      </w:tabs>
    </w:pPr>
  </w:style>
  <w:style w:type="character" w:styleId="PageNumber">
    <w:name w:val="page number"/>
    <w:basedOn w:val="DefaultParagraphFont"/>
    <w:rsid w:val="00C956B9"/>
  </w:style>
  <w:style w:type="paragraph" w:styleId="Header">
    <w:name w:val="header"/>
    <w:basedOn w:val="Normal"/>
    <w:link w:val="HeaderChar"/>
    <w:uiPriority w:val="99"/>
    <w:rsid w:val="00970B43"/>
    <w:pPr>
      <w:tabs>
        <w:tab w:val="center" w:pos="4680"/>
        <w:tab w:val="right" w:pos="9360"/>
      </w:tabs>
    </w:pPr>
  </w:style>
  <w:style w:type="paragraph" w:styleId="FootnoteText">
    <w:name w:val="footnote text"/>
    <w:basedOn w:val="Normal"/>
    <w:link w:val="FootnoteTextChar"/>
    <w:semiHidden/>
    <w:rsid w:val="00C956B9"/>
    <w:rPr>
      <w:sz w:val="20"/>
      <w:szCs w:val="20"/>
    </w:rPr>
  </w:style>
  <w:style w:type="character" w:styleId="FootnoteReference">
    <w:name w:val="footnote reference"/>
    <w:basedOn w:val="DefaultParagraphFont"/>
    <w:semiHidden/>
    <w:rsid w:val="00C956B9"/>
    <w:rPr>
      <w:vertAlign w:val="superscript"/>
    </w:rPr>
  </w:style>
  <w:style w:type="paragraph" w:customStyle="1" w:styleId="xl24">
    <w:name w:val="xl24"/>
    <w:basedOn w:val="Normal"/>
    <w:rsid w:val="00C956B9"/>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styleId="BodyTextIndent">
    <w:name w:val="Body Text Indent"/>
    <w:basedOn w:val="Normal"/>
    <w:rsid w:val="00C956B9"/>
    <w:pPr>
      <w:ind w:left="720"/>
    </w:pPr>
    <w:rPr>
      <w:sz w:val="22"/>
    </w:rPr>
  </w:style>
  <w:style w:type="paragraph" w:styleId="BodyTextIndent2">
    <w:name w:val="Body Text Indent 2"/>
    <w:basedOn w:val="Normal"/>
    <w:rsid w:val="00C956B9"/>
    <w:pPr>
      <w:ind w:left="748" w:hanging="28"/>
    </w:pPr>
    <w:rPr>
      <w:bCs/>
    </w:rPr>
  </w:style>
  <w:style w:type="paragraph" w:styleId="BodyTextIndent3">
    <w:name w:val="Body Text Indent 3"/>
    <w:basedOn w:val="Normal"/>
    <w:rsid w:val="00C956B9"/>
    <w:pPr>
      <w:autoSpaceDE w:val="0"/>
      <w:autoSpaceDN w:val="0"/>
      <w:adjustRightInd w:val="0"/>
      <w:ind w:left="748"/>
    </w:pPr>
    <w:rPr>
      <w:sz w:val="22"/>
    </w:rPr>
  </w:style>
  <w:style w:type="paragraph" w:styleId="BalloonText">
    <w:name w:val="Balloon Text"/>
    <w:basedOn w:val="Normal"/>
    <w:semiHidden/>
    <w:rsid w:val="00751DF8"/>
    <w:rPr>
      <w:rFonts w:ascii="Tahoma" w:hAnsi="Tahoma" w:cs="Tahoma"/>
      <w:sz w:val="16"/>
      <w:szCs w:val="16"/>
    </w:rPr>
  </w:style>
  <w:style w:type="character" w:styleId="CommentReference">
    <w:name w:val="annotation reference"/>
    <w:basedOn w:val="DefaultParagraphFont"/>
    <w:rsid w:val="00AB7DE4"/>
    <w:rPr>
      <w:sz w:val="16"/>
      <w:szCs w:val="16"/>
    </w:rPr>
  </w:style>
  <w:style w:type="paragraph" w:styleId="CommentText">
    <w:name w:val="annotation text"/>
    <w:basedOn w:val="Normal"/>
    <w:link w:val="CommentTextChar"/>
    <w:rsid w:val="00AB7DE4"/>
    <w:rPr>
      <w:sz w:val="20"/>
      <w:szCs w:val="20"/>
    </w:rPr>
  </w:style>
  <w:style w:type="character" w:customStyle="1" w:styleId="CommentTextChar">
    <w:name w:val="Comment Text Char"/>
    <w:basedOn w:val="DefaultParagraphFont"/>
    <w:link w:val="CommentText"/>
    <w:rsid w:val="00AB7DE4"/>
  </w:style>
  <w:style w:type="paragraph" w:styleId="CommentSubject">
    <w:name w:val="annotation subject"/>
    <w:basedOn w:val="CommentText"/>
    <w:next w:val="CommentText"/>
    <w:link w:val="CommentSubjectChar"/>
    <w:rsid w:val="00AB7DE4"/>
    <w:rPr>
      <w:b/>
      <w:bCs/>
    </w:rPr>
  </w:style>
  <w:style w:type="character" w:customStyle="1" w:styleId="CommentSubjectChar">
    <w:name w:val="Comment Subject Char"/>
    <w:basedOn w:val="CommentTextChar"/>
    <w:link w:val="CommentSubject"/>
    <w:rsid w:val="00AB7DE4"/>
    <w:rPr>
      <w:b/>
      <w:bCs/>
    </w:rPr>
  </w:style>
  <w:style w:type="character" w:customStyle="1" w:styleId="TitleChar">
    <w:name w:val="Title Char"/>
    <w:basedOn w:val="DefaultParagraphFont"/>
    <w:link w:val="Title"/>
    <w:uiPriority w:val="10"/>
    <w:rsid w:val="0000417E"/>
    <w:rPr>
      <w:b/>
      <w:bCs/>
      <w:sz w:val="24"/>
      <w:szCs w:val="24"/>
    </w:rPr>
  </w:style>
  <w:style w:type="table" w:styleId="TableGrid">
    <w:name w:val="Table Grid"/>
    <w:basedOn w:val="TableNormal"/>
    <w:rsid w:val="000A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3ED"/>
    <w:pPr>
      <w:ind w:left="720"/>
      <w:contextualSpacing/>
    </w:pPr>
  </w:style>
  <w:style w:type="paragraph" w:customStyle="1" w:styleId="RFRtext">
    <w:name w:val="RFRtext"/>
    <w:basedOn w:val="Normal"/>
    <w:rsid w:val="00D05B68"/>
    <w:pPr>
      <w:widowControl w:val="0"/>
      <w:tabs>
        <w:tab w:val="left" w:pos="-720"/>
      </w:tabs>
      <w:spacing w:line="-320" w:lineRule="auto"/>
    </w:pPr>
    <w:rPr>
      <w:szCs w:val="20"/>
    </w:rPr>
  </w:style>
  <w:style w:type="paragraph" w:customStyle="1" w:styleId="RFRTextNumbered">
    <w:name w:val="RFR Text Numbered"/>
    <w:basedOn w:val="RFRtext"/>
    <w:rsid w:val="00D05B68"/>
    <w:pPr>
      <w:widowControl/>
      <w:numPr>
        <w:numId w:val="3"/>
      </w:numPr>
      <w:tabs>
        <w:tab w:val="clear" w:pos="-720"/>
      </w:tabs>
      <w:overflowPunct w:val="0"/>
      <w:autoSpaceDE w:val="0"/>
      <w:autoSpaceDN w:val="0"/>
      <w:adjustRightInd w:val="0"/>
      <w:spacing w:before="240" w:line="240" w:lineRule="auto"/>
      <w:textAlignment w:val="baseline"/>
    </w:pPr>
  </w:style>
  <w:style w:type="paragraph" w:styleId="NormalWeb">
    <w:name w:val="Normal (Web)"/>
    <w:basedOn w:val="Normal"/>
    <w:rsid w:val="00D105D9"/>
  </w:style>
  <w:style w:type="paragraph" w:customStyle="1" w:styleId="Heading">
    <w:name w:val="Heading"/>
    <w:basedOn w:val="Text"/>
    <w:next w:val="Text"/>
    <w:rsid w:val="006C689C"/>
    <w:pPr>
      <w:keepNext/>
      <w:keepLines/>
      <w:numPr>
        <w:numId w:val="5"/>
      </w:numPr>
      <w:spacing w:before="360" w:after="60"/>
      <w:ind w:left="360"/>
      <w:jc w:val="left"/>
    </w:pPr>
    <w:rPr>
      <w:b/>
      <w:szCs w:val="20"/>
      <w:u w:val="single"/>
    </w:rPr>
  </w:style>
  <w:style w:type="paragraph" w:customStyle="1" w:styleId="Level1">
    <w:name w:val="Level 1"/>
    <w:basedOn w:val="Normal"/>
    <w:rsid w:val="00970B43"/>
    <w:pPr>
      <w:keepNext/>
      <w:numPr>
        <w:numId w:val="4"/>
      </w:numPr>
      <w:spacing w:before="240" w:after="60"/>
      <w:outlineLvl w:val="0"/>
    </w:pPr>
    <w:rPr>
      <w:rFonts w:ascii="Footlight MT Light" w:hAnsi="Footlight MT Light"/>
      <w:b/>
      <w:smallCaps/>
      <w:sz w:val="28"/>
      <w:szCs w:val="20"/>
    </w:rPr>
  </w:style>
  <w:style w:type="paragraph" w:customStyle="1" w:styleId="Level2">
    <w:name w:val="Level 2"/>
    <w:basedOn w:val="Normal"/>
    <w:rsid w:val="00970B43"/>
    <w:pPr>
      <w:numPr>
        <w:ilvl w:val="1"/>
        <w:numId w:val="4"/>
      </w:numPr>
      <w:tabs>
        <w:tab w:val="left" w:pos="3060"/>
      </w:tabs>
      <w:spacing w:before="120"/>
      <w:outlineLvl w:val="1"/>
    </w:pPr>
    <w:rPr>
      <w:szCs w:val="20"/>
    </w:rPr>
  </w:style>
  <w:style w:type="paragraph" w:customStyle="1" w:styleId="Level3">
    <w:name w:val="Level 3"/>
    <w:basedOn w:val="Normal"/>
    <w:rsid w:val="00C90BE7"/>
    <w:pPr>
      <w:numPr>
        <w:ilvl w:val="2"/>
        <w:numId w:val="4"/>
      </w:numPr>
      <w:spacing w:before="60"/>
      <w:ind w:left="2160"/>
      <w:outlineLvl w:val="2"/>
    </w:pPr>
    <w:rPr>
      <w:szCs w:val="20"/>
    </w:rPr>
  </w:style>
  <w:style w:type="paragraph" w:customStyle="1" w:styleId="Level4">
    <w:name w:val="Level 4"/>
    <w:basedOn w:val="Normal"/>
    <w:rsid w:val="00970B43"/>
    <w:pPr>
      <w:numPr>
        <w:ilvl w:val="3"/>
        <w:numId w:val="4"/>
      </w:numPr>
      <w:spacing w:before="60"/>
      <w:outlineLvl w:val="3"/>
    </w:pPr>
    <w:rPr>
      <w:szCs w:val="20"/>
    </w:rPr>
  </w:style>
  <w:style w:type="paragraph" w:customStyle="1" w:styleId="Level5">
    <w:name w:val="Level 5"/>
    <w:basedOn w:val="Normal"/>
    <w:rsid w:val="00970B43"/>
    <w:pPr>
      <w:numPr>
        <w:ilvl w:val="4"/>
        <w:numId w:val="4"/>
      </w:numPr>
      <w:tabs>
        <w:tab w:val="left" w:pos="1800"/>
      </w:tabs>
      <w:spacing w:before="60"/>
      <w:outlineLvl w:val="4"/>
    </w:pPr>
    <w:rPr>
      <w:szCs w:val="20"/>
    </w:rPr>
  </w:style>
  <w:style w:type="paragraph" w:customStyle="1" w:styleId="Level6">
    <w:name w:val="Level 6"/>
    <w:basedOn w:val="Normal"/>
    <w:rsid w:val="00970B43"/>
    <w:pPr>
      <w:numPr>
        <w:ilvl w:val="5"/>
        <w:numId w:val="4"/>
      </w:numPr>
      <w:spacing w:before="60"/>
      <w:outlineLvl w:val="5"/>
    </w:pPr>
    <w:rPr>
      <w:szCs w:val="20"/>
    </w:rPr>
  </w:style>
  <w:style w:type="paragraph" w:customStyle="1" w:styleId="Level7">
    <w:name w:val="Level 7"/>
    <w:basedOn w:val="Normal"/>
    <w:rsid w:val="00970B43"/>
    <w:pPr>
      <w:numPr>
        <w:ilvl w:val="6"/>
        <w:numId w:val="4"/>
      </w:numPr>
      <w:outlineLvl w:val="6"/>
    </w:pPr>
    <w:rPr>
      <w:szCs w:val="20"/>
    </w:rPr>
  </w:style>
  <w:style w:type="paragraph" w:customStyle="1" w:styleId="Level8">
    <w:name w:val="Level 8"/>
    <w:basedOn w:val="Normal"/>
    <w:rsid w:val="00970B43"/>
    <w:pPr>
      <w:numPr>
        <w:ilvl w:val="7"/>
        <w:numId w:val="4"/>
      </w:numPr>
      <w:outlineLvl w:val="7"/>
    </w:pPr>
    <w:rPr>
      <w:szCs w:val="20"/>
    </w:rPr>
  </w:style>
  <w:style w:type="paragraph" w:customStyle="1" w:styleId="Level9">
    <w:name w:val="Level 9"/>
    <w:basedOn w:val="Normal"/>
    <w:rsid w:val="00970B43"/>
    <w:pPr>
      <w:numPr>
        <w:ilvl w:val="8"/>
        <w:numId w:val="4"/>
      </w:numPr>
      <w:outlineLvl w:val="8"/>
    </w:pPr>
    <w:rPr>
      <w:szCs w:val="20"/>
    </w:rPr>
  </w:style>
  <w:style w:type="paragraph" w:styleId="Quote">
    <w:name w:val="Quote"/>
    <w:basedOn w:val="Text"/>
    <w:next w:val="Text"/>
    <w:link w:val="QuoteChar"/>
    <w:qFormat/>
    <w:rsid w:val="00970B43"/>
    <w:pPr>
      <w:spacing w:before="180"/>
      <w:ind w:left="360" w:right="360"/>
    </w:pPr>
  </w:style>
  <w:style w:type="character" w:customStyle="1" w:styleId="QuoteChar">
    <w:name w:val="Quote Char"/>
    <w:basedOn w:val="DefaultParagraphFont"/>
    <w:link w:val="Quote"/>
    <w:rsid w:val="00970B43"/>
    <w:rPr>
      <w:sz w:val="24"/>
      <w:szCs w:val="24"/>
    </w:rPr>
  </w:style>
  <w:style w:type="paragraph" w:customStyle="1" w:styleId="Subheading">
    <w:name w:val="Subheading"/>
    <w:basedOn w:val="Text"/>
    <w:next w:val="Text"/>
    <w:rsid w:val="00970B43"/>
    <w:pPr>
      <w:keepNext/>
      <w:keepLines/>
      <w:suppressAutoHyphens/>
      <w:spacing w:after="60"/>
    </w:pPr>
    <w:rPr>
      <w:b/>
      <w:szCs w:val="20"/>
      <w:u w:val="single"/>
    </w:rPr>
  </w:style>
  <w:style w:type="paragraph" w:customStyle="1" w:styleId="Table">
    <w:name w:val="Table"/>
    <w:basedOn w:val="Normal"/>
    <w:rsid w:val="00970B43"/>
    <w:pPr>
      <w:spacing w:before="80" w:after="80"/>
    </w:pPr>
    <w:rPr>
      <w:szCs w:val="20"/>
    </w:rPr>
  </w:style>
  <w:style w:type="paragraph" w:customStyle="1" w:styleId="TableTitle">
    <w:name w:val="Table Title"/>
    <w:basedOn w:val="Text"/>
    <w:rsid w:val="00970B43"/>
    <w:pPr>
      <w:spacing w:after="120"/>
      <w:jc w:val="center"/>
    </w:pPr>
    <w:rPr>
      <w:b/>
      <w:smallCaps/>
      <w:szCs w:val="20"/>
    </w:rPr>
  </w:style>
  <w:style w:type="character" w:customStyle="1" w:styleId="FooterChar">
    <w:name w:val="Footer Char"/>
    <w:basedOn w:val="DefaultParagraphFont"/>
    <w:link w:val="Footer"/>
    <w:uiPriority w:val="99"/>
    <w:rsid w:val="005E1482"/>
    <w:rPr>
      <w:sz w:val="24"/>
      <w:szCs w:val="24"/>
    </w:rPr>
  </w:style>
  <w:style w:type="character" w:styleId="FollowedHyperlink">
    <w:name w:val="FollowedHyperlink"/>
    <w:basedOn w:val="DefaultParagraphFont"/>
    <w:rsid w:val="00D87177"/>
    <w:rPr>
      <w:color w:val="800080"/>
      <w:u w:val="single"/>
    </w:rPr>
  </w:style>
  <w:style w:type="paragraph" w:styleId="Revision">
    <w:name w:val="Revision"/>
    <w:hidden/>
    <w:uiPriority w:val="71"/>
    <w:rsid w:val="00395EF5"/>
    <w:rPr>
      <w:sz w:val="24"/>
      <w:szCs w:val="24"/>
    </w:rPr>
  </w:style>
  <w:style w:type="character" w:customStyle="1" w:styleId="FootnoteTextChar">
    <w:name w:val="Footnote Text Char"/>
    <w:basedOn w:val="DefaultParagraphFont"/>
    <w:link w:val="FootnoteText"/>
    <w:semiHidden/>
    <w:rsid w:val="00946433"/>
  </w:style>
  <w:style w:type="character" w:customStyle="1" w:styleId="HeaderChar">
    <w:name w:val="Header Char"/>
    <w:basedOn w:val="DefaultParagraphFont"/>
    <w:link w:val="Header"/>
    <w:uiPriority w:val="99"/>
    <w:rsid w:val="0094745F"/>
    <w:rPr>
      <w:sz w:val="24"/>
      <w:szCs w:val="24"/>
    </w:rPr>
  </w:style>
  <w:style w:type="character" w:customStyle="1" w:styleId="UnresolvedMention1">
    <w:name w:val="Unresolved Mention1"/>
    <w:basedOn w:val="DefaultParagraphFont"/>
    <w:uiPriority w:val="99"/>
    <w:unhideWhenUsed/>
    <w:rsid w:val="008D6DE8"/>
    <w:rPr>
      <w:color w:val="605E5C"/>
      <w:shd w:val="clear" w:color="auto" w:fill="E1DFDD"/>
    </w:rPr>
  </w:style>
  <w:style w:type="character" w:customStyle="1" w:styleId="Mention1">
    <w:name w:val="Mention1"/>
    <w:basedOn w:val="DefaultParagraphFont"/>
    <w:uiPriority w:val="99"/>
    <w:unhideWhenUsed/>
    <w:rsid w:val="00000A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2164">
      <w:bodyDiv w:val="1"/>
      <w:marLeft w:val="0"/>
      <w:marRight w:val="0"/>
      <w:marTop w:val="0"/>
      <w:marBottom w:val="0"/>
      <w:divBdr>
        <w:top w:val="none" w:sz="0" w:space="0" w:color="auto"/>
        <w:left w:val="none" w:sz="0" w:space="0" w:color="auto"/>
        <w:bottom w:val="none" w:sz="0" w:space="0" w:color="auto"/>
        <w:right w:val="none" w:sz="0" w:space="0" w:color="auto"/>
      </w:divBdr>
    </w:div>
    <w:div w:id="226763060">
      <w:bodyDiv w:val="1"/>
      <w:marLeft w:val="0"/>
      <w:marRight w:val="0"/>
      <w:marTop w:val="0"/>
      <w:marBottom w:val="0"/>
      <w:divBdr>
        <w:top w:val="none" w:sz="0" w:space="0" w:color="auto"/>
        <w:left w:val="none" w:sz="0" w:space="0" w:color="auto"/>
        <w:bottom w:val="none" w:sz="0" w:space="0" w:color="auto"/>
        <w:right w:val="none" w:sz="0" w:space="0" w:color="auto"/>
      </w:divBdr>
    </w:div>
    <w:div w:id="237323048">
      <w:bodyDiv w:val="1"/>
      <w:marLeft w:val="0"/>
      <w:marRight w:val="0"/>
      <w:marTop w:val="0"/>
      <w:marBottom w:val="0"/>
      <w:divBdr>
        <w:top w:val="none" w:sz="0" w:space="0" w:color="auto"/>
        <w:left w:val="none" w:sz="0" w:space="0" w:color="auto"/>
        <w:bottom w:val="none" w:sz="0" w:space="0" w:color="auto"/>
        <w:right w:val="none" w:sz="0" w:space="0" w:color="auto"/>
      </w:divBdr>
    </w:div>
    <w:div w:id="280184512">
      <w:bodyDiv w:val="1"/>
      <w:marLeft w:val="0"/>
      <w:marRight w:val="0"/>
      <w:marTop w:val="0"/>
      <w:marBottom w:val="0"/>
      <w:divBdr>
        <w:top w:val="none" w:sz="0" w:space="0" w:color="auto"/>
        <w:left w:val="none" w:sz="0" w:space="0" w:color="auto"/>
        <w:bottom w:val="none" w:sz="0" w:space="0" w:color="auto"/>
        <w:right w:val="none" w:sz="0" w:space="0" w:color="auto"/>
      </w:divBdr>
    </w:div>
    <w:div w:id="348263567">
      <w:bodyDiv w:val="1"/>
      <w:marLeft w:val="0"/>
      <w:marRight w:val="0"/>
      <w:marTop w:val="0"/>
      <w:marBottom w:val="0"/>
      <w:divBdr>
        <w:top w:val="none" w:sz="0" w:space="0" w:color="auto"/>
        <w:left w:val="none" w:sz="0" w:space="0" w:color="auto"/>
        <w:bottom w:val="none" w:sz="0" w:space="0" w:color="auto"/>
        <w:right w:val="none" w:sz="0" w:space="0" w:color="auto"/>
      </w:divBdr>
    </w:div>
    <w:div w:id="535508187">
      <w:bodyDiv w:val="1"/>
      <w:marLeft w:val="0"/>
      <w:marRight w:val="0"/>
      <w:marTop w:val="0"/>
      <w:marBottom w:val="0"/>
      <w:divBdr>
        <w:top w:val="none" w:sz="0" w:space="0" w:color="auto"/>
        <w:left w:val="none" w:sz="0" w:space="0" w:color="auto"/>
        <w:bottom w:val="none" w:sz="0" w:space="0" w:color="auto"/>
        <w:right w:val="none" w:sz="0" w:space="0" w:color="auto"/>
      </w:divBdr>
    </w:div>
    <w:div w:id="537551733">
      <w:bodyDiv w:val="1"/>
      <w:marLeft w:val="0"/>
      <w:marRight w:val="0"/>
      <w:marTop w:val="0"/>
      <w:marBottom w:val="0"/>
      <w:divBdr>
        <w:top w:val="none" w:sz="0" w:space="0" w:color="auto"/>
        <w:left w:val="none" w:sz="0" w:space="0" w:color="auto"/>
        <w:bottom w:val="none" w:sz="0" w:space="0" w:color="auto"/>
        <w:right w:val="none" w:sz="0" w:space="0" w:color="auto"/>
      </w:divBdr>
      <w:divsChild>
        <w:div w:id="629288764">
          <w:marLeft w:val="0"/>
          <w:marRight w:val="0"/>
          <w:marTop w:val="0"/>
          <w:marBottom w:val="0"/>
          <w:divBdr>
            <w:top w:val="none" w:sz="0" w:space="0" w:color="auto"/>
            <w:left w:val="none" w:sz="0" w:space="0" w:color="auto"/>
            <w:bottom w:val="none" w:sz="0" w:space="0" w:color="auto"/>
            <w:right w:val="none" w:sz="0" w:space="0" w:color="auto"/>
          </w:divBdr>
          <w:divsChild>
            <w:div w:id="717633110">
              <w:marLeft w:val="0"/>
              <w:marRight w:val="0"/>
              <w:marTop w:val="0"/>
              <w:marBottom w:val="0"/>
              <w:divBdr>
                <w:top w:val="none" w:sz="0" w:space="0" w:color="auto"/>
                <w:left w:val="none" w:sz="0" w:space="0" w:color="auto"/>
                <w:bottom w:val="none" w:sz="0" w:space="0" w:color="auto"/>
                <w:right w:val="none" w:sz="0" w:space="0" w:color="auto"/>
              </w:divBdr>
              <w:divsChild>
                <w:div w:id="1861355622">
                  <w:marLeft w:val="0"/>
                  <w:marRight w:val="0"/>
                  <w:marTop w:val="0"/>
                  <w:marBottom w:val="0"/>
                  <w:divBdr>
                    <w:top w:val="none" w:sz="0" w:space="0" w:color="auto"/>
                    <w:left w:val="none" w:sz="0" w:space="0" w:color="auto"/>
                    <w:bottom w:val="none" w:sz="0" w:space="0" w:color="auto"/>
                    <w:right w:val="none" w:sz="0" w:space="0" w:color="auto"/>
                  </w:divBdr>
                  <w:divsChild>
                    <w:div w:id="3112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06570">
      <w:bodyDiv w:val="1"/>
      <w:marLeft w:val="0"/>
      <w:marRight w:val="0"/>
      <w:marTop w:val="0"/>
      <w:marBottom w:val="0"/>
      <w:divBdr>
        <w:top w:val="none" w:sz="0" w:space="0" w:color="auto"/>
        <w:left w:val="none" w:sz="0" w:space="0" w:color="auto"/>
        <w:bottom w:val="none" w:sz="0" w:space="0" w:color="auto"/>
        <w:right w:val="none" w:sz="0" w:space="0" w:color="auto"/>
      </w:divBdr>
    </w:div>
    <w:div w:id="826214374">
      <w:bodyDiv w:val="1"/>
      <w:marLeft w:val="0"/>
      <w:marRight w:val="0"/>
      <w:marTop w:val="0"/>
      <w:marBottom w:val="0"/>
      <w:divBdr>
        <w:top w:val="none" w:sz="0" w:space="0" w:color="auto"/>
        <w:left w:val="none" w:sz="0" w:space="0" w:color="auto"/>
        <w:bottom w:val="none" w:sz="0" w:space="0" w:color="auto"/>
        <w:right w:val="none" w:sz="0" w:space="0" w:color="auto"/>
      </w:divBdr>
    </w:div>
    <w:div w:id="843058076">
      <w:bodyDiv w:val="1"/>
      <w:marLeft w:val="0"/>
      <w:marRight w:val="0"/>
      <w:marTop w:val="0"/>
      <w:marBottom w:val="0"/>
      <w:divBdr>
        <w:top w:val="none" w:sz="0" w:space="0" w:color="auto"/>
        <w:left w:val="none" w:sz="0" w:space="0" w:color="auto"/>
        <w:bottom w:val="none" w:sz="0" w:space="0" w:color="auto"/>
        <w:right w:val="none" w:sz="0" w:space="0" w:color="auto"/>
      </w:divBdr>
      <w:divsChild>
        <w:div w:id="263458448">
          <w:marLeft w:val="0"/>
          <w:marRight w:val="0"/>
          <w:marTop w:val="0"/>
          <w:marBottom w:val="0"/>
          <w:divBdr>
            <w:top w:val="none" w:sz="0" w:space="0" w:color="auto"/>
            <w:left w:val="none" w:sz="0" w:space="0" w:color="auto"/>
            <w:bottom w:val="none" w:sz="0" w:space="0" w:color="auto"/>
            <w:right w:val="none" w:sz="0" w:space="0" w:color="auto"/>
          </w:divBdr>
          <w:divsChild>
            <w:div w:id="834564735">
              <w:marLeft w:val="0"/>
              <w:marRight w:val="0"/>
              <w:marTop w:val="0"/>
              <w:marBottom w:val="0"/>
              <w:divBdr>
                <w:top w:val="none" w:sz="0" w:space="0" w:color="auto"/>
                <w:left w:val="none" w:sz="0" w:space="0" w:color="auto"/>
                <w:bottom w:val="none" w:sz="0" w:space="0" w:color="auto"/>
                <w:right w:val="none" w:sz="0" w:space="0" w:color="auto"/>
              </w:divBdr>
              <w:divsChild>
                <w:div w:id="1089080295">
                  <w:marLeft w:val="0"/>
                  <w:marRight w:val="0"/>
                  <w:marTop w:val="0"/>
                  <w:marBottom w:val="0"/>
                  <w:divBdr>
                    <w:top w:val="none" w:sz="0" w:space="0" w:color="auto"/>
                    <w:left w:val="none" w:sz="0" w:space="0" w:color="auto"/>
                    <w:bottom w:val="none" w:sz="0" w:space="0" w:color="auto"/>
                    <w:right w:val="none" w:sz="0" w:space="0" w:color="auto"/>
                  </w:divBdr>
                  <w:divsChild>
                    <w:div w:id="1867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0175">
      <w:bodyDiv w:val="1"/>
      <w:marLeft w:val="0"/>
      <w:marRight w:val="0"/>
      <w:marTop w:val="0"/>
      <w:marBottom w:val="0"/>
      <w:divBdr>
        <w:top w:val="none" w:sz="0" w:space="0" w:color="auto"/>
        <w:left w:val="none" w:sz="0" w:space="0" w:color="auto"/>
        <w:bottom w:val="none" w:sz="0" w:space="0" w:color="auto"/>
        <w:right w:val="none" w:sz="0" w:space="0" w:color="auto"/>
      </w:divBdr>
    </w:div>
    <w:div w:id="910578563">
      <w:bodyDiv w:val="1"/>
      <w:marLeft w:val="0"/>
      <w:marRight w:val="0"/>
      <w:marTop w:val="0"/>
      <w:marBottom w:val="0"/>
      <w:divBdr>
        <w:top w:val="none" w:sz="0" w:space="0" w:color="auto"/>
        <w:left w:val="none" w:sz="0" w:space="0" w:color="auto"/>
        <w:bottom w:val="none" w:sz="0" w:space="0" w:color="auto"/>
        <w:right w:val="none" w:sz="0" w:space="0" w:color="auto"/>
      </w:divBdr>
    </w:div>
    <w:div w:id="1209991730">
      <w:bodyDiv w:val="1"/>
      <w:marLeft w:val="0"/>
      <w:marRight w:val="0"/>
      <w:marTop w:val="0"/>
      <w:marBottom w:val="0"/>
      <w:divBdr>
        <w:top w:val="none" w:sz="0" w:space="0" w:color="auto"/>
        <w:left w:val="none" w:sz="0" w:space="0" w:color="auto"/>
        <w:bottom w:val="none" w:sz="0" w:space="0" w:color="auto"/>
        <w:right w:val="none" w:sz="0" w:space="0" w:color="auto"/>
      </w:divBdr>
      <w:divsChild>
        <w:div w:id="1318412540">
          <w:marLeft w:val="0"/>
          <w:marRight w:val="0"/>
          <w:marTop w:val="0"/>
          <w:marBottom w:val="0"/>
          <w:divBdr>
            <w:top w:val="none" w:sz="0" w:space="0" w:color="auto"/>
            <w:left w:val="none" w:sz="0" w:space="0" w:color="auto"/>
            <w:bottom w:val="none" w:sz="0" w:space="0" w:color="auto"/>
            <w:right w:val="none" w:sz="0" w:space="0" w:color="auto"/>
          </w:divBdr>
          <w:divsChild>
            <w:div w:id="701826010">
              <w:marLeft w:val="0"/>
              <w:marRight w:val="0"/>
              <w:marTop w:val="0"/>
              <w:marBottom w:val="0"/>
              <w:divBdr>
                <w:top w:val="none" w:sz="0" w:space="0" w:color="auto"/>
                <w:left w:val="none" w:sz="0" w:space="0" w:color="auto"/>
                <w:bottom w:val="none" w:sz="0" w:space="0" w:color="auto"/>
                <w:right w:val="none" w:sz="0" w:space="0" w:color="auto"/>
              </w:divBdr>
              <w:divsChild>
                <w:div w:id="1286080827">
                  <w:marLeft w:val="0"/>
                  <w:marRight w:val="0"/>
                  <w:marTop w:val="0"/>
                  <w:marBottom w:val="0"/>
                  <w:divBdr>
                    <w:top w:val="none" w:sz="0" w:space="0" w:color="auto"/>
                    <w:left w:val="none" w:sz="0" w:space="0" w:color="auto"/>
                    <w:bottom w:val="none" w:sz="0" w:space="0" w:color="auto"/>
                    <w:right w:val="none" w:sz="0" w:space="0" w:color="auto"/>
                  </w:divBdr>
                  <w:divsChild>
                    <w:div w:id="954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81273">
      <w:bodyDiv w:val="1"/>
      <w:marLeft w:val="0"/>
      <w:marRight w:val="0"/>
      <w:marTop w:val="0"/>
      <w:marBottom w:val="0"/>
      <w:divBdr>
        <w:top w:val="none" w:sz="0" w:space="0" w:color="auto"/>
        <w:left w:val="none" w:sz="0" w:space="0" w:color="auto"/>
        <w:bottom w:val="none" w:sz="0" w:space="0" w:color="auto"/>
        <w:right w:val="none" w:sz="0" w:space="0" w:color="auto"/>
      </w:divBdr>
    </w:div>
    <w:div w:id="1444761124">
      <w:bodyDiv w:val="1"/>
      <w:marLeft w:val="0"/>
      <w:marRight w:val="0"/>
      <w:marTop w:val="0"/>
      <w:marBottom w:val="0"/>
      <w:divBdr>
        <w:top w:val="none" w:sz="0" w:space="0" w:color="auto"/>
        <w:left w:val="none" w:sz="0" w:space="0" w:color="auto"/>
        <w:bottom w:val="none" w:sz="0" w:space="0" w:color="auto"/>
        <w:right w:val="none" w:sz="0" w:space="0" w:color="auto"/>
      </w:divBdr>
    </w:div>
    <w:div w:id="1569072867">
      <w:bodyDiv w:val="1"/>
      <w:marLeft w:val="0"/>
      <w:marRight w:val="0"/>
      <w:marTop w:val="0"/>
      <w:marBottom w:val="0"/>
      <w:divBdr>
        <w:top w:val="none" w:sz="0" w:space="0" w:color="auto"/>
        <w:left w:val="none" w:sz="0" w:space="0" w:color="auto"/>
        <w:bottom w:val="none" w:sz="0" w:space="0" w:color="auto"/>
        <w:right w:val="none" w:sz="0" w:space="0" w:color="auto"/>
      </w:divBdr>
    </w:div>
    <w:div w:id="1686861631">
      <w:bodyDiv w:val="1"/>
      <w:marLeft w:val="0"/>
      <w:marRight w:val="0"/>
      <w:marTop w:val="0"/>
      <w:marBottom w:val="0"/>
      <w:divBdr>
        <w:top w:val="none" w:sz="0" w:space="0" w:color="auto"/>
        <w:left w:val="none" w:sz="0" w:space="0" w:color="auto"/>
        <w:bottom w:val="none" w:sz="0" w:space="0" w:color="auto"/>
        <w:right w:val="none" w:sz="0" w:space="0" w:color="auto"/>
      </w:divBdr>
    </w:div>
    <w:div w:id="1738357129">
      <w:bodyDiv w:val="1"/>
      <w:marLeft w:val="0"/>
      <w:marRight w:val="0"/>
      <w:marTop w:val="0"/>
      <w:marBottom w:val="0"/>
      <w:divBdr>
        <w:top w:val="none" w:sz="0" w:space="0" w:color="auto"/>
        <w:left w:val="none" w:sz="0" w:space="0" w:color="auto"/>
        <w:bottom w:val="none" w:sz="0" w:space="0" w:color="auto"/>
        <w:right w:val="none" w:sz="0" w:space="0" w:color="auto"/>
      </w:divBdr>
    </w:div>
    <w:div w:id="1779445275">
      <w:bodyDiv w:val="1"/>
      <w:marLeft w:val="0"/>
      <w:marRight w:val="0"/>
      <w:marTop w:val="0"/>
      <w:marBottom w:val="0"/>
      <w:divBdr>
        <w:top w:val="none" w:sz="0" w:space="0" w:color="auto"/>
        <w:left w:val="none" w:sz="0" w:space="0" w:color="auto"/>
        <w:bottom w:val="none" w:sz="0" w:space="0" w:color="auto"/>
        <w:right w:val="none" w:sz="0" w:space="0" w:color="auto"/>
      </w:divBdr>
    </w:div>
    <w:div w:id="1804884830">
      <w:bodyDiv w:val="1"/>
      <w:marLeft w:val="0"/>
      <w:marRight w:val="0"/>
      <w:marTop w:val="0"/>
      <w:marBottom w:val="0"/>
      <w:divBdr>
        <w:top w:val="none" w:sz="0" w:space="0" w:color="auto"/>
        <w:left w:val="none" w:sz="0" w:space="0" w:color="auto"/>
        <w:bottom w:val="none" w:sz="0" w:space="0" w:color="auto"/>
        <w:right w:val="none" w:sz="0" w:space="0" w:color="auto"/>
      </w:divBdr>
    </w:div>
    <w:div w:id="1808931822">
      <w:bodyDiv w:val="1"/>
      <w:marLeft w:val="0"/>
      <w:marRight w:val="0"/>
      <w:marTop w:val="0"/>
      <w:marBottom w:val="0"/>
      <w:divBdr>
        <w:top w:val="none" w:sz="0" w:space="0" w:color="auto"/>
        <w:left w:val="none" w:sz="0" w:space="0" w:color="auto"/>
        <w:bottom w:val="none" w:sz="0" w:space="0" w:color="auto"/>
        <w:right w:val="none" w:sz="0" w:space="0" w:color="auto"/>
      </w:divBdr>
    </w:div>
    <w:div w:id="2049718448">
      <w:bodyDiv w:val="1"/>
      <w:marLeft w:val="0"/>
      <w:marRight w:val="0"/>
      <w:marTop w:val="0"/>
      <w:marBottom w:val="0"/>
      <w:divBdr>
        <w:top w:val="none" w:sz="0" w:space="0" w:color="auto"/>
        <w:left w:val="none" w:sz="0" w:space="0" w:color="auto"/>
        <w:bottom w:val="none" w:sz="0" w:space="0" w:color="auto"/>
        <w:right w:val="none" w:sz="0" w:space="0" w:color="auto"/>
      </w:divBdr>
    </w:div>
    <w:div w:id="2142765804">
      <w:bodyDiv w:val="1"/>
      <w:marLeft w:val="0"/>
      <w:marRight w:val="0"/>
      <w:marTop w:val="0"/>
      <w:marBottom w:val="0"/>
      <w:divBdr>
        <w:top w:val="none" w:sz="0" w:space="0" w:color="auto"/>
        <w:left w:val="none" w:sz="0" w:space="0" w:color="auto"/>
        <w:bottom w:val="none" w:sz="0" w:space="0" w:color="auto"/>
        <w:right w:val="none" w:sz="0" w:space="0" w:color="auto"/>
      </w:divBdr>
      <w:divsChild>
        <w:div w:id="316955931">
          <w:marLeft w:val="0"/>
          <w:marRight w:val="0"/>
          <w:marTop w:val="0"/>
          <w:marBottom w:val="0"/>
          <w:divBdr>
            <w:top w:val="none" w:sz="0" w:space="0" w:color="auto"/>
            <w:left w:val="none" w:sz="0" w:space="0" w:color="auto"/>
            <w:bottom w:val="none" w:sz="0" w:space="0" w:color="auto"/>
            <w:right w:val="none" w:sz="0" w:space="0" w:color="auto"/>
          </w:divBdr>
          <w:divsChild>
            <w:div w:id="1957171702">
              <w:marLeft w:val="0"/>
              <w:marRight w:val="0"/>
              <w:marTop w:val="0"/>
              <w:marBottom w:val="0"/>
              <w:divBdr>
                <w:top w:val="none" w:sz="0" w:space="0" w:color="auto"/>
                <w:left w:val="none" w:sz="0" w:space="0" w:color="auto"/>
                <w:bottom w:val="none" w:sz="0" w:space="0" w:color="auto"/>
                <w:right w:val="none" w:sz="0" w:space="0" w:color="auto"/>
              </w:divBdr>
              <w:divsChild>
                <w:div w:id="1679230042">
                  <w:marLeft w:val="0"/>
                  <w:marRight w:val="0"/>
                  <w:marTop w:val="0"/>
                  <w:marBottom w:val="0"/>
                  <w:divBdr>
                    <w:top w:val="none" w:sz="0" w:space="0" w:color="auto"/>
                    <w:left w:val="none" w:sz="0" w:space="0" w:color="auto"/>
                    <w:bottom w:val="none" w:sz="0" w:space="0" w:color="auto"/>
                    <w:right w:val="none" w:sz="0" w:space="0" w:color="auto"/>
                  </w:divBdr>
                  <w:divsChild>
                    <w:div w:id="6974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mavehiclecheck.com/motorists-resources" TargetMode="Externa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mavehiclecheck.com/motorists-resourc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5b7652a2bb3a44c54631f13887a8d458">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7bbdfd2d2b12586653d294cf55c9f4a"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385AA-5E64-468C-8FD7-107015856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FF9E1-09BA-4308-A18E-3F8D62148C7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d1ab2f6-91f9-4f14-952a-3f3eb0d68341"/>
    <ds:schemaRef ds:uri="8f2fdac3-5421-455f-b4e4-df6141b3176a"/>
    <ds:schemaRef ds:uri="http://www.w3.org/XML/1998/namespace"/>
  </ds:schemaRefs>
</ds:datastoreItem>
</file>

<file path=customXml/itemProps3.xml><?xml version="1.0" encoding="utf-8"?>
<ds:datastoreItem xmlns:ds="http://schemas.openxmlformats.org/officeDocument/2006/customXml" ds:itemID="{B72E99DF-8ECA-4417-83C8-F9AE7392CA46}">
  <ds:schemaRefs>
    <ds:schemaRef ds:uri="http://schemas.microsoft.com/sharepoint/v3/contenttype/forms"/>
  </ds:schemaRefs>
</ds:datastoreItem>
</file>

<file path=customXml/itemProps4.xml><?xml version="1.0" encoding="utf-8"?>
<ds:datastoreItem xmlns:ds="http://schemas.openxmlformats.org/officeDocument/2006/customXml" ds:itemID="{2C6AAACB-E839-40E9-B971-3BED2B14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2309</Words>
  <Characters>13666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15944</CharactersWithSpaces>
  <SharedDoc>false</SharedDoc>
  <HLinks>
    <vt:vector size="12" baseType="variant">
      <vt:variant>
        <vt:i4>4325484</vt:i4>
      </vt:variant>
      <vt:variant>
        <vt:i4>3</vt:i4>
      </vt:variant>
      <vt:variant>
        <vt:i4>0</vt:i4>
      </vt:variant>
      <vt:variant>
        <vt:i4>5</vt:i4>
      </vt:variant>
      <vt:variant>
        <vt:lpwstr>http://massvehiclecheck.state.ma.us/about_publications.html</vt:lpwstr>
      </vt:variant>
      <vt:variant>
        <vt:lpwstr/>
      </vt:variant>
      <vt:variant>
        <vt:i4>4325484</vt:i4>
      </vt:variant>
      <vt:variant>
        <vt:i4>0</vt:i4>
      </vt:variant>
      <vt:variant>
        <vt:i4>0</vt:i4>
      </vt:variant>
      <vt:variant>
        <vt:i4>5</vt:i4>
      </vt:variant>
      <vt:variant>
        <vt:lpwstr>http://massvehiclecheck.state.ma.us/about_publications.html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Davis-Merrill</dc:creator>
  <cp:lastModifiedBy>Woleader, Craig (DEP)</cp:lastModifiedBy>
  <cp:revision>2</cp:revision>
  <cp:lastPrinted>2014-06-02T16:24:00Z</cp:lastPrinted>
  <dcterms:created xsi:type="dcterms:W3CDTF">2020-09-16T13:34:00Z</dcterms:created>
  <dcterms:modified xsi:type="dcterms:W3CDTF">2020-09-16T13:34:00Z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